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ACE" w:rsidRDefault="00DE6731">
      <w:pPr>
        <w:kinsoku w:val="0"/>
        <w:overflowPunct w:val="0"/>
        <w:autoSpaceDE/>
        <w:autoSpaceDN/>
        <w:adjustRightInd/>
        <w:spacing w:line="248" w:lineRule="exact"/>
        <w:jc w:val="center"/>
        <w:textAlignment w:val="baseline"/>
        <w:rPr>
          <w:rFonts w:ascii="Verdana" w:hAnsi="Verdana" w:cs="Verdana"/>
          <w:b/>
          <w:bCs/>
          <w:spacing w:val="2"/>
          <w:sz w:val="21"/>
          <w:szCs w:val="21"/>
          <w:lang w:val="es-ES" w:eastAsia="es-ES"/>
        </w:rPr>
      </w:pPr>
      <w:bookmarkStart w:id="0" w:name="_GoBack"/>
      <w:bookmarkEnd w:id="0"/>
      <w:r>
        <w:rPr>
          <w:rFonts w:ascii="Verdana" w:hAnsi="Verdana" w:cs="Verdana"/>
          <w:b/>
          <w:bCs/>
          <w:spacing w:val="2"/>
          <w:sz w:val="21"/>
          <w:szCs w:val="21"/>
          <w:lang w:val="es-ES" w:eastAsia="es-ES"/>
        </w:rPr>
        <w:t>RESOLUCION N. TAT-3286-2017</w:t>
      </w:r>
    </w:p>
    <w:p w:rsidR="001F0ACE" w:rsidRDefault="00DE6731">
      <w:pPr>
        <w:kinsoku w:val="0"/>
        <w:overflowPunct w:val="0"/>
        <w:autoSpaceDE/>
        <w:autoSpaceDN/>
        <w:adjustRightInd/>
        <w:spacing w:before="545" w:line="256"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 a las diez horas veintiséis minutos del once de julio de dos mil diecisiete.</w:t>
      </w:r>
    </w:p>
    <w:p w:rsidR="001F0ACE" w:rsidRDefault="00DE6731">
      <w:pPr>
        <w:kinsoku w:val="0"/>
        <w:overflowPunct w:val="0"/>
        <w:autoSpaceDE/>
        <w:autoSpaceDN/>
        <w:adjustRightInd/>
        <w:spacing w:before="260" w:line="263" w:lineRule="exact"/>
        <w:ind w:right="144"/>
        <w:jc w:val="both"/>
        <w:textAlignment w:val="baseline"/>
        <w:rPr>
          <w:rFonts w:ascii="Verdana" w:hAnsi="Verdana" w:cs="Verdana"/>
          <w:b/>
          <w:bCs/>
          <w:sz w:val="21"/>
          <w:szCs w:val="21"/>
          <w:lang w:val="es-ES" w:eastAsia="es-ES"/>
        </w:rPr>
      </w:pPr>
      <w:r>
        <w:rPr>
          <w:rFonts w:ascii="Verdana" w:hAnsi="Verdana" w:cs="Verdana"/>
          <w:b/>
          <w:bCs/>
          <w:sz w:val="17"/>
          <w:szCs w:val="17"/>
          <w:lang w:val="es-ES" w:eastAsia="es-ES"/>
        </w:rPr>
        <w:t xml:space="preserve">RECURSO DE APELACIÓN EN SUBSIDIO, </w:t>
      </w:r>
      <w:r>
        <w:rPr>
          <w:rFonts w:ascii="Verdana" w:hAnsi="Verdana" w:cs="Verdana"/>
          <w:sz w:val="21"/>
          <w:szCs w:val="21"/>
          <w:lang w:val="es-ES" w:eastAsia="es-ES"/>
        </w:rPr>
        <w:t xml:space="preserve">interpuesto por la señora </w:t>
      </w:r>
      <w:r>
        <w:rPr>
          <w:rFonts w:ascii="Verdana" w:hAnsi="Verdana" w:cs="Verdana"/>
          <w:b/>
          <w:bCs/>
          <w:sz w:val="21"/>
          <w:szCs w:val="21"/>
          <w:lang w:val="es-ES" w:eastAsia="es-ES"/>
        </w:rPr>
        <w:t>R</w:t>
      </w:r>
      <w:r w:rsidR="006737AC">
        <w:rPr>
          <w:rFonts w:ascii="Verdana" w:hAnsi="Verdana" w:cs="Verdana"/>
          <w:b/>
          <w:bCs/>
          <w:sz w:val="21"/>
          <w:szCs w:val="21"/>
          <w:lang w:val="es-ES" w:eastAsia="es-ES"/>
        </w:rPr>
        <w:t>.M.C.</w:t>
      </w:r>
      <w:r>
        <w:rPr>
          <w:rFonts w:ascii="Verdana" w:hAnsi="Verdana" w:cs="Verdana"/>
          <w:b/>
          <w:bCs/>
          <w:sz w:val="21"/>
          <w:szCs w:val="21"/>
          <w:lang w:val="es-ES" w:eastAsia="es-ES"/>
        </w:rPr>
        <w:t xml:space="preserve">, cédula de identidad </w:t>
      </w:r>
      <w:r w:rsidR="006737AC">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en su condición de </w:t>
      </w:r>
      <w:r>
        <w:rPr>
          <w:rFonts w:ascii="Verdana" w:hAnsi="Verdana" w:cs="Verdana"/>
          <w:b/>
          <w:bCs/>
          <w:sz w:val="21"/>
          <w:szCs w:val="21"/>
          <w:lang w:val="es-ES" w:eastAsia="es-ES"/>
        </w:rPr>
        <w:t>Albacea de la sucesión de G</w:t>
      </w:r>
      <w:r w:rsidR="006737AC">
        <w:rPr>
          <w:rFonts w:ascii="Verdana" w:hAnsi="Verdana" w:cs="Verdana"/>
          <w:b/>
          <w:bCs/>
          <w:sz w:val="21"/>
          <w:szCs w:val="21"/>
          <w:lang w:val="es-ES" w:eastAsia="es-ES"/>
        </w:rPr>
        <w:t>.V.V.</w:t>
      </w:r>
      <w:r>
        <w:rPr>
          <w:rFonts w:ascii="Verdana" w:hAnsi="Verdana" w:cs="Verdana"/>
          <w:b/>
          <w:bCs/>
          <w:sz w:val="21"/>
          <w:szCs w:val="21"/>
          <w:lang w:val="es-ES" w:eastAsia="es-ES"/>
        </w:rPr>
        <w:t xml:space="preserve">, </w:t>
      </w:r>
      <w:r>
        <w:rPr>
          <w:rFonts w:ascii="Verdana" w:hAnsi="Verdana" w:cs="Verdana"/>
          <w:sz w:val="21"/>
          <w:szCs w:val="21"/>
          <w:lang w:val="es-ES" w:eastAsia="es-ES"/>
        </w:rPr>
        <w:t>quien en vida fuera el concesionario de Taxi de la placa número TSJ-</w:t>
      </w:r>
      <w:r w:rsidR="006737AC">
        <w:rPr>
          <w:rFonts w:ascii="Verdana" w:hAnsi="Verdana" w:cs="Verdana"/>
          <w:sz w:val="21"/>
          <w:szCs w:val="21"/>
          <w:lang w:val="es-ES" w:eastAsia="es-ES"/>
        </w:rPr>
        <w:t>XXXX</w:t>
      </w:r>
      <w:r>
        <w:rPr>
          <w:rFonts w:ascii="Verdana" w:hAnsi="Verdana" w:cs="Verdana"/>
          <w:sz w:val="21"/>
          <w:szCs w:val="21"/>
          <w:lang w:val="es-ES" w:eastAsia="es-ES"/>
        </w:rPr>
        <w:t xml:space="preserve"> quien falleció y de quien solicita se le traspase Mortis Causa la misma, contra el </w:t>
      </w:r>
      <w:r>
        <w:rPr>
          <w:rFonts w:ascii="Verdana" w:hAnsi="Verdana" w:cs="Verdana"/>
          <w:b/>
          <w:bCs/>
          <w:sz w:val="21"/>
          <w:szCs w:val="21"/>
          <w:lang w:val="es-ES" w:eastAsia="es-ES"/>
        </w:rPr>
        <w:t xml:space="preserve">Artículo 7.29 de la Sesión Ordinaria 15-2014 de 26 de febrero de 2014, </w:t>
      </w:r>
      <w:r>
        <w:rPr>
          <w:rFonts w:ascii="Verdana" w:hAnsi="Verdana" w:cs="Verdana"/>
          <w:sz w:val="21"/>
          <w:szCs w:val="21"/>
          <w:lang w:val="es-ES" w:eastAsia="es-ES"/>
        </w:rPr>
        <w:t xml:space="preserve">dictado por la JUNTA DIRECTIVA DEL CONSEJO DE TRANSPORTE PÚBLICO. </w:t>
      </w:r>
      <w:r>
        <w:rPr>
          <w:rFonts w:ascii="Verdana" w:hAnsi="Verdana" w:cs="Verdana"/>
          <w:b/>
          <w:bCs/>
          <w:sz w:val="21"/>
          <w:szCs w:val="21"/>
          <w:lang w:val="es-ES" w:eastAsia="es-ES"/>
        </w:rPr>
        <w:t>EL caso es tramitado bajo Expediente Administrativo No. TAT-050-17.</w:t>
      </w:r>
    </w:p>
    <w:p w:rsidR="001F0ACE" w:rsidRDefault="00DE6731">
      <w:pPr>
        <w:kinsoku w:val="0"/>
        <w:overflowPunct w:val="0"/>
        <w:autoSpaceDE/>
        <w:autoSpaceDN/>
        <w:adjustRightInd/>
        <w:spacing w:before="523" w:line="252"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RESULTANDO</w:t>
      </w:r>
    </w:p>
    <w:p w:rsidR="001F0ACE" w:rsidRDefault="00DE6731">
      <w:pPr>
        <w:kinsoku w:val="0"/>
        <w:overflowPunct w:val="0"/>
        <w:autoSpaceDE/>
        <w:autoSpaceDN/>
        <w:adjustRightInd/>
        <w:spacing w:before="592" w:line="256" w:lineRule="exact"/>
        <w:ind w:right="144"/>
        <w:jc w:val="both"/>
        <w:textAlignment w:val="baseline"/>
        <w:rPr>
          <w:rFonts w:ascii="Verdana" w:hAnsi="Verdana" w:cs="Verdana"/>
          <w:spacing w:val="2"/>
          <w:sz w:val="21"/>
          <w:szCs w:val="21"/>
          <w:lang w:val="es-ES" w:eastAsia="es-ES"/>
        </w:rPr>
      </w:pPr>
      <w:r>
        <w:rPr>
          <w:rFonts w:ascii="Verdana" w:hAnsi="Verdana" w:cs="Verdana"/>
          <w:b/>
          <w:bCs/>
          <w:spacing w:val="2"/>
          <w:sz w:val="21"/>
          <w:szCs w:val="21"/>
          <w:lang w:val="es-ES" w:eastAsia="es-ES"/>
        </w:rPr>
        <w:t xml:space="preserve">PRIMERO: </w:t>
      </w:r>
      <w:r>
        <w:rPr>
          <w:rFonts w:ascii="Verdana" w:hAnsi="Verdana" w:cs="Verdana"/>
          <w:spacing w:val="2"/>
          <w:sz w:val="21"/>
          <w:szCs w:val="21"/>
          <w:lang w:val="es-ES" w:eastAsia="es-ES"/>
        </w:rPr>
        <w:t xml:space="preserve">La Junta Directiva del Consejo de Transporte Público, mediante </w:t>
      </w:r>
      <w:r>
        <w:rPr>
          <w:rFonts w:ascii="Verdana" w:hAnsi="Verdana" w:cs="Verdana"/>
          <w:b/>
          <w:bCs/>
          <w:i/>
          <w:iCs/>
          <w:spacing w:val="2"/>
          <w:sz w:val="21"/>
          <w:szCs w:val="21"/>
          <w:lang w:val="es-ES" w:eastAsia="es-ES"/>
        </w:rPr>
        <w:t xml:space="preserve">Artículo 7.29 de la Sesión Ordinaria 15-2014 de 26 de febrero de 2014, </w:t>
      </w:r>
      <w:r>
        <w:rPr>
          <w:rFonts w:ascii="Verdana" w:hAnsi="Verdana" w:cs="Verdana"/>
          <w:i/>
          <w:iCs/>
          <w:spacing w:val="2"/>
          <w:sz w:val="21"/>
          <w:szCs w:val="21"/>
          <w:lang w:val="es-ES" w:eastAsia="es-ES"/>
        </w:rPr>
        <w:t xml:space="preserve">conoce y avala el </w:t>
      </w:r>
      <w:r>
        <w:rPr>
          <w:rFonts w:ascii="Verdana" w:hAnsi="Verdana" w:cs="Verdana"/>
          <w:b/>
          <w:bCs/>
          <w:i/>
          <w:iCs/>
          <w:spacing w:val="2"/>
          <w:sz w:val="21"/>
          <w:szCs w:val="21"/>
          <w:lang w:val="es-ES" w:eastAsia="es-ES"/>
        </w:rPr>
        <w:t>Informe DA</w:t>
      </w:r>
      <w:r w:rsidR="006737AC">
        <w:rPr>
          <w:rFonts w:ascii="Verdana" w:hAnsi="Verdana" w:cs="Verdana"/>
          <w:b/>
          <w:bCs/>
          <w:i/>
          <w:iCs/>
          <w:spacing w:val="2"/>
          <w:sz w:val="21"/>
          <w:szCs w:val="21"/>
          <w:lang w:val="es-ES" w:eastAsia="es-ES"/>
        </w:rPr>
        <w:t>J</w:t>
      </w:r>
      <w:r>
        <w:rPr>
          <w:rFonts w:ascii="Verdana" w:hAnsi="Verdana" w:cs="Verdana"/>
          <w:b/>
          <w:bCs/>
          <w:i/>
          <w:iCs/>
          <w:spacing w:val="2"/>
          <w:sz w:val="21"/>
          <w:szCs w:val="21"/>
          <w:lang w:val="es-ES" w:eastAsia="es-ES"/>
        </w:rPr>
        <w:t xml:space="preserve"> 2014-000340 de 29 de enero de </w:t>
      </w:r>
      <w:r>
        <w:rPr>
          <w:rFonts w:ascii="Verdana" w:hAnsi="Verdana" w:cs="Verdana"/>
          <w:b/>
          <w:bCs/>
          <w:spacing w:val="2"/>
          <w:sz w:val="21"/>
          <w:szCs w:val="21"/>
          <w:lang w:val="es-ES" w:eastAsia="es-ES"/>
        </w:rPr>
        <w:t xml:space="preserve">2014, de la Dirección de Asuntos Jurídicos </w:t>
      </w:r>
      <w:r>
        <w:rPr>
          <w:rFonts w:ascii="Verdana" w:hAnsi="Verdana" w:cs="Verdana"/>
          <w:spacing w:val="2"/>
          <w:sz w:val="21"/>
          <w:szCs w:val="21"/>
          <w:lang w:val="es-ES" w:eastAsia="es-ES"/>
        </w:rPr>
        <w:t xml:space="preserve">y archiva la solicitud de traspaso mortis causa presentada por la recurrente y cancela el derecho de concesión de la </w:t>
      </w:r>
      <w:r>
        <w:rPr>
          <w:rFonts w:ascii="Verdana" w:hAnsi="Verdana" w:cs="Verdana"/>
          <w:b/>
          <w:bCs/>
          <w:spacing w:val="2"/>
          <w:sz w:val="21"/>
          <w:szCs w:val="21"/>
          <w:lang w:val="es-ES" w:eastAsia="es-ES"/>
        </w:rPr>
        <w:t>placa TSJ-</w:t>
      </w:r>
      <w:r w:rsidR="006737AC">
        <w:rPr>
          <w:rFonts w:ascii="Verdana" w:hAnsi="Verdana" w:cs="Verdana"/>
          <w:b/>
          <w:bCs/>
          <w:spacing w:val="2"/>
          <w:sz w:val="21"/>
          <w:szCs w:val="21"/>
          <w:lang w:val="es-ES" w:eastAsia="es-ES"/>
        </w:rPr>
        <w:t>XXXX</w:t>
      </w:r>
      <w:r>
        <w:rPr>
          <w:rFonts w:ascii="Verdana" w:hAnsi="Verdana" w:cs="Verdana"/>
          <w:b/>
          <w:bCs/>
          <w:spacing w:val="2"/>
          <w:sz w:val="21"/>
          <w:szCs w:val="21"/>
          <w:lang w:val="es-ES" w:eastAsia="es-ES"/>
        </w:rPr>
        <w:t xml:space="preserve">, </w:t>
      </w:r>
      <w:r>
        <w:rPr>
          <w:rFonts w:ascii="Verdana" w:hAnsi="Verdana" w:cs="Verdana"/>
          <w:spacing w:val="2"/>
          <w:sz w:val="21"/>
          <w:szCs w:val="21"/>
          <w:lang w:val="es-ES" w:eastAsia="es-ES"/>
        </w:rPr>
        <w:t xml:space="preserve">concedida a quien en vida se llamó </w:t>
      </w:r>
      <w:r>
        <w:rPr>
          <w:rFonts w:ascii="Verdana" w:hAnsi="Verdana" w:cs="Verdana"/>
          <w:b/>
          <w:bCs/>
          <w:spacing w:val="2"/>
          <w:sz w:val="21"/>
          <w:szCs w:val="21"/>
          <w:lang w:val="es-ES" w:eastAsia="es-ES"/>
        </w:rPr>
        <w:t>G</w:t>
      </w:r>
      <w:r w:rsidR="006737AC">
        <w:rPr>
          <w:rFonts w:ascii="Verdana" w:hAnsi="Verdana" w:cs="Verdana"/>
          <w:b/>
          <w:bCs/>
          <w:spacing w:val="2"/>
          <w:sz w:val="21"/>
          <w:szCs w:val="21"/>
          <w:lang w:val="es-ES" w:eastAsia="es-ES"/>
        </w:rPr>
        <w:t>.V.V.</w:t>
      </w:r>
      <w:r>
        <w:rPr>
          <w:rFonts w:ascii="Verdana" w:hAnsi="Verdana" w:cs="Verdana"/>
          <w:b/>
          <w:bCs/>
          <w:spacing w:val="2"/>
          <w:sz w:val="21"/>
          <w:szCs w:val="21"/>
          <w:lang w:val="es-ES" w:eastAsia="es-ES"/>
        </w:rPr>
        <w:t xml:space="preserve">, </w:t>
      </w:r>
      <w:r>
        <w:rPr>
          <w:rFonts w:ascii="Verdana" w:hAnsi="Verdana" w:cs="Verdana"/>
          <w:spacing w:val="2"/>
          <w:sz w:val="21"/>
          <w:szCs w:val="21"/>
          <w:lang w:val="es-ES" w:eastAsia="es-ES"/>
        </w:rPr>
        <w:t>por cuanto la solicitante no cumplió con lo prevenido previamente por el CTP. (Léanse folios del 261 al 263 del expediente administrativo)</w:t>
      </w:r>
    </w:p>
    <w:p w:rsidR="001F0ACE" w:rsidRDefault="00DE6731">
      <w:pPr>
        <w:kinsoku w:val="0"/>
        <w:overflowPunct w:val="0"/>
        <w:autoSpaceDE/>
        <w:autoSpaceDN/>
        <w:adjustRightInd/>
        <w:spacing w:before="332" w:after="897" w:line="256"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SEGUNDO: </w:t>
      </w:r>
      <w:r>
        <w:rPr>
          <w:rFonts w:ascii="Verdana" w:hAnsi="Verdana" w:cs="Verdana"/>
          <w:sz w:val="21"/>
          <w:szCs w:val="21"/>
          <w:lang w:val="es-ES" w:eastAsia="es-ES"/>
        </w:rPr>
        <w:t xml:space="preserve">La señora </w:t>
      </w:r>
      <w:r>
        <w:rPr>
          <w:rFonts w:ascii="Verdana" w:hAnsi="Verdana" w:cs="Verdana"/>
          <w:b/>
          <w:bCs/>
          <w:sz w:val="21"/>
          <w:szCs w:val="21"/>
          <w:lang w:val="es-ES" w:eastAsia="es-ES"/>
        </w:rPr>
        <w:t>R</w:t>
      </w:r>
      <w:r w:rsidR="006737AC">
        <w:rPr>
          <w:rFonts w:ascii="Verdana" w:hAnsi="Verdana" w:cs="Verdana"/>
          <w:b/>
          <w:bCs/>
          <w:sz w:val="21"/>
          <w:szCs w:val="21"/>
          <w:lang w:val="es-ES" w:eastAsia="es-ES"/>
        </w:rPr>
        <w:t>.M.C.</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impugna el </w:t>
      </w:r>
      <w:r>
        <w:rPr>
          <w:rFonts w:ascii="Verdana" w:hAnsi="Verdana" w:cs="Verdana"/>
          <w:b/>
          <w:bCs/>
          <w:i/>
          <w:iCs/>
          <w:sz w:val="21"/>
          <w:szCs w:val="21"/>
          <w:lang w:val="es-ES" w:eastAsia="es-ES"/>
        </w:rPr>
        <w:t xml:space="preserve">Artículo 7.29 de la Sesión Ordinaria 15-2014 de 26 de febrero de 2014, </w:t>
      </w:r>
      <w:r>
        <w:rPr>
          <w:rFonts w:ascii="Verdana" w:hAnsi="Verdana" w:cs="Verdana"/>
          <w:sz w:val="21"/>
          <w:szCs w:val="21"/>
          <w:lang w:val="es-ES" w:eastAsia="es-ES"/>
        </w:rPr>
        <w:t xml:space="preserve">refiriendo que se le notificó el oficio </w:t>
      </w:r>
      <w:r>
        <w:rPr>
          <w:rFonts w:ascii="Verdana" w:hAnsi="Verdana" w:cs="Verdana"/>
          <w:b/>
          <w:bCs/>
          <w:sz w:val="21"/>
          <w:szCs w:val="21"/>
          <w:lang w:val="es-ES" w:eastAsia="es-ES"/>
        </w:rPr>
        <w:t xml:space="preserve">DAJ-20120383, </w:t>
      </w:r>
      <w:r>
        <w:rPr>
          <w:rFonts w:ascii="Verdana" w:hAnsi="Verdana" w:cs="Verdana"/>
          <w:sz w:val="21"/>
          <w:szCs w:val="21"/>
          <w:lang w:val="es-ES" w:eastAsia="es-ES"/>
        </w:rPr>
        <w:t>en lugar distinto al indicado por ella en expediente 188427, por lo que no tuvo conocimiento del mismo hasta hace poco tiempo. Manifiesta que la cláusula en la que se solicita presentar una nota firmada por cada uno de los herederos y autenticada por profesional en derecho en la que se acepte trasladar la concesión a uno solo de ellos es una cláusula abusiva y fuera de realidad, en su lugar debería dejar que ella como Albacea la presentara pues en los sucesorios existen intereses contrapuestos y muchas veces no se pueden poner de acuerdo, sin contar con que aun en el proceso sucesorio se ventila a quien le corresponderá el uso de la concesión y el vehículo. Solicita se anule el acto y se permita la presentación de recursos según</w:t>
      </w:r>
    </w:p>
    <w:p w:rsidR="001F0ACE" w:rsidRDefault="001F0ACE">
      <w:pPr>
        <w:widowControl/>
        <w:rPr>
          <w:sz w:val="24"/>
          <w:szCs w:val="24"/>
        </w:rPr>
        <w:sectPr w:rsidR="001F0ACE" w:rsidSect="006737AC">
          <w:pgSz w:w="12134" w:h="15840"/>
          <w:pgMar w:top="1276" w:right="1557" w:bottom="40" w:left="1757" w:header="720" w:footer="720" w:gutter="0"/>
          <w:cols w:space="720"/>
          <w:noEndnote/>
        </w:sectPr>
      </w:pPr>
    </w:p>
    <w:p w:rsidR="001F0ACE" w:rsidRDefault="00DE6731">
      <w:pPr>
        <w:tabs>
          <w:tab w:val="right" w:pos="3096"/>
        </w:tabs>
        <w:kinsoku w:val="0"/>
        <w:overflowPunct w:val="0"/>
        <w:autoSpaceDE/>
        <w:autoSpaceDN/>
        <w:adjustRightInd/>
        <w:spacing w:line="217" w:lineRule="exact"/>
        <w:textAlignment w:val="baseline"/>
        <w:rPr>
          <w:sz w:val="19"/>
          <w:szCs w:val="19"/>
          <w:lang w:val="es-ES" w:eastAsia="es-ES"/>
        </w:rPr>
      </w:pPr>
      <w:r>
        <w:rPr>
          <w:sz w:val="19"/>
          <w:szCs w:val="19"/>
          <w:lang w:val="es-ES" w:eastAsia="es-ES"/>
        </w:rPr>
        <w:tab/>
      </w:r>
    </w:p>
    <w:p w:rsidR="001F0ACE" w:rsidRDefault="001F0ACE">
      <w:pPr>
        <w:widowControl/>
        <w:rPr>
          <w:sz w:val="24"/>
          <w:szCs w:val="24"/>
        </w:rPr>
        <w:sectPr w:rsidR="001F0ACE">
          <w:type w:val="continuous"/>
          <w:pgSz w:w="12134" w:h="15840"/>
          <w:pgMar w:top="2220" w:right="1608" w:bottom="40" w:left="7286" w:header="720" w:footer="720" w:gutter="0"/>
          <w:cols w:space="720"/>
          <w:noEndnote/>
        </w:sectPr>
      </w:pPr>
    </w:p>
    <w:p w:rsidR="001F0ACE" w:rsidRDefault="00DE6731">
      <w:pPr>
        <w:kinsoku w:val="0"/>
        <w:overflowPunct w:val="0"/>
        <w:autoSpaceDE/>
        <w:autoSpaceDN/>
        <w:adjustRightInd/>
        <w:spacing w:before="29" w:line="260" w:lineRule="exact"/>
        <w:ind w:left="72" w:right="72"/>
        <w:jc w:val="both"/>
        <w:textAlignment w:val="baseline"/>
        <w:rPr>
          <w:rFonts w:ascii="Tahoma" w:hAnsi="Tahoma" w:cs="Tahoma"/>
          <w:sz w:val="22"/>
          <w:szCs w:val="22"/>
          <w:lang w:val="es-ES" w:eastAsia="es-ES"/>
        </w:rPr>
      </w:pPr>
      <w:r>
        <w:rPr>
          <w:rFonts w:ascii="Tahoma" w:hAnsi="Tahoma" w:cs="Tahoma"/>
          <w:sz w:val="22"/>
          <w:szCs w:val="22"/>
          <w:lang w:val="es-ES" w:eastAsia="es-ES"/>
        </w:rPr>
        <w:lastRenderedPageBreak/>
        <w:t>documento que aportara en ventanilla única el 3 de marzo de 2014. (Léanse folios 83 y 84 del expediente administrativo).</w:t>
      </w:r>
    </w:p>
    <w:p w:rsidR="001F0ACE" w:rsidRDefault="00DE6731">
      <w:pPr>
        <w:kinsoku w:val="0"/>
        <w:overflowPunct w:val="0"/>
        <w:autoSpaceDE/>
        <w:autoSpaceDN/>
        <w:adjustRightInd/>
        <w:spacing w:before="509" w:line="261" w:lineRule="exact"/>
        <w:ind w:left="72" w:right="72"/>
        <w:jc w:val="both"/>
        <w:textAlignment w:val="baseline"/>
        <w:rPr>
          <w:rFonts w:ascii="Tahoma" w:hAnsi="Tahoma" w:cs="Tahoma"/>
          <w:spacing w:val="11"/>
          <w:sz w:val="22"/>
          <w:szCs w:val="22"/>
          <w:lang w:val="es-ES" w:eastAsia="es-ES"/>
        </w:rPr>
      </w:pPr>
      <w:r>
        <w:rPr>
          <w:rFonts w:ascii="Tahoma" w:hAnsi="Tahoma" w:cs="Tahoma"/>
          <w:b/>
          <w:bCs/>
          <w:spacing w:val="11"/>
          <w:sz w:val="22"/>
          <w:szCs w:val="22"/>
          <w:lang w:val="es-ES" w:eastAsia="es-ES"/>
        </w:rPr>
        <w:t xml:space="preserve">TERCERO: </w:t>
      </w:r>
      <w:r>
        <w:rPr>
          <w:rFonts w:ascii="Tahoma" w:hAnsi="Tahoma" w:cs="Tahoma"/>
          <w:spacing w:val="11"/>
          <w:sz w:val="22"/>
          <w:szCs w:val="22"/>
          <w:lang w:val="es-ES" w:eastAsia="es-ES"/>
        </w:rPr>
        <w:t xml:space="preserve">La Junta Directiva del Consejo de Transporte Público mediante </w:t>
      </w:r>
      <w:r>
        <w:rPr>
          <w:rFonts w:ascii="Tahoma" w:hAnsi="Tahoma" w:cs="Tahoma"/>
          <w:b/>
          <w:bCs/>
          <w:spacing w:val="11"/>
          <w:sz w:val="22"/>
          <w:szCs w:val="22"/>
          <w:lang w:val="es-ES" w:eastAsia="es-ES"/>
        </w:rPr>
        <w:t xml:space="preserve">Artículo 7.12 de la Sesión Ordinaria 14-2017 de 29 de marzo de 2017, </w:t>
      </w:r>
      <w:r>
        <w:rPr>
          <w:rFonts w:ascii="Tahoma" w:hAnsi="Tahoma" w:cs="Tahoma"/>
          <w:spacing w:val="11"/>
          <w:sz w:val="22"/>
          <w:szCs w:val="22"/>
          <w:lang w:val="es-ES" w:eastAsia="es-ES"/>
        </w:rPr>
        <w:t xml:space="preserve">aprueba el informe de la </w:t>
      </w:r>
      <w:r>
        <w:rPr>
          <w:rFonts w:ascii="Tahoma" w:hAnsi="Tahoma" w:cs="Tahoma"/>
          <w:b/>
          <w:bCs/>
          <w:spacing w:val="11"/>
          <w:sz w:val="22"/>
          <w:szCs w:val="22"/>
          <w:lang w:val="es-ES" w:eastAsia="es-ES"/>
        </w:rPr>
        <w:t xml:space="preserve">Dirección de Asuntos Jurídicos el DAJ-2017-000773 de 23 de marzo de 2017 </w:t>
      </w:r>
      <w:r>
        <w:rPr>
          <w:rFonts w:ascii="Tahoma" w:hAnsi="Tahoma" w:cs="Tahoma"/>
          <w:spacing w:val="11"/>
          <w:sz w:val="22"/>
          <w:szCs w:val="22"/>
          <w:lang w:val="es-ES" w:eastAsia="es-ES"/>
        </w:rPr>
        <w:t xml:space="preserve">y rechaza el Recurso de Revocatoria por considerar que </w:t>
      </w:r>
      <w:r w:rsidR="006737AC">
        <w:rPr>
          <w:rFonts w:ascii="Tahoma" w:hAnsi="Tahoma" w:cs="Tahoma"/>
          <w:spacing w:val="11"/>
          <w:sz w:val="22"/>
          <w:szCs w:val="22"/>
          <w:lang w:val="es-ES" w:eastAsia="es-ES"/>
        </w:rPr>
        <w:t>se mantienen los presupuestos qu</w:t>
      </w:r>
      <w:r>
        <w:rPr>
          <w:rFonts w:ascii="Tahoma" w:hAnsi="Tahoma" w:cs="Tahoma"/>
          <w:spacing w:val="11"/>
          <w:sz w:val="22"/>
          <w:szCs w:val="22"/>
          <w:lang w:val="es-ES" w:eastAsia="es-ES"/>
        </w:rPr>
        <w:t>e</w:t>
      </w:r>
      <w:r w:rsidR="006737AC">
        <w:rPr>
          <w:rFonts w:ascii="Tahoma" w:hAnsi="Tahoma" w:cs="Tahoma"/>
          <w:spacing w:val="11"/>
          <w:sz w:val="22"/>
          <w:szCs w:val="22"/>
          <w:lang w:val="es-ES" w:eastAsia="es-ES"/>
        </w:rPr>
        <w:t xml:space="preserve"> </w:t>
      </w:r>
      <w:r>
        <w:rPr>
          <w:rFonts w:ascii="Tahoma" w:hAnsi="Tahoma" w:cs="Tahoma"/>
          <w:spacing w:val="11"/>
          <w:sz w:val="22"/>
          <w:szCs w:val="22"/>
          <w:lang w:val="es-ES" w:eastAsia="es-ES"/>
        </w:rPr>
        <w:t xml:space="preserve">determinaron el rechazo del mismo mediante </w:t>
      </w:r>
      <w:r>
        <w:rPr>
          <w:rFonts w:ascii="Tahoma" w:hAnsi="Tahoma" w:cs="Tahoma"/>
          <w:b/>
          <w:bCs/>
          <w:spacing w:val="11"/>
          <w:sz w:val="22"/>
          <w:szCs w:val="22"/>
          <w:lang w:val="es-ES" w:eastAsia="es-ES"/>
        </w:rPr>
        <w:t xml:space="preserve">acuerdo 7.2.22 de la Sesión 59-2014 de 15 de octubre de 2014 y que fuera anulado mediante resolución TAT-2874-2015 </w:t>
      </w:r>
      <w:r>
        <w:rPr>
          <w:rFonts w:ascii="Tahoma" w:hAnsi="Tahoma" w:cs="Tahoma"/>
          <w:spacing w:val="11"/>
          <w:sz w:val="22"/>
          <w:szCs w:val="22"/>
          <w:lang w:val="es-ES" w:eastAsia="es-ES"/>
        </w:rPr>
        <w:t>del Tribunal Administrativo de Transporte. (Léase folios del 1 al 4 del expediente administrativo).</w:t>
      </w:r>
    </w:p>
    <w:p w:rsidR="001F0ACE" w:rsidRDefault="00DE6731">
      <w:pPr>
        <w:kinsoku w:val="0"/>
        <w:overflowPunct w:val="0"/>
        <w:autoSpaceDE/>
        <w:autoSpaceDN/>
        <w:adjustRightInd/>
        <w:spacing w:before="272" w:line="261" w:lineRule="exact"/>
        <w:ind w:left="72" w:right="72"/>
        <w:jc w:val="both"/>
        <w:textAlignment w:val="baseline"/>
        <w:rPr>
          <w:rFonts w:ascii="Tahoma" w:hAnsi="Tahoma" w:cs="Tahoma"/>
          <w:spacing w:val="10"/>
          <w:sz w:val="22"/>
          <w:szCs w:val="22"/>
          <w:lang w:val="es-ES" w:eastAsia="es-ES"/>
        </w:rPr>
      </w:pPr>
      <w:r>
        <w:rPr>
          <w:rFonts w:ascii="Tahoma" w:hAnsi="Tahoma" w:cs="Tahoma"/>
          <w:b/>
          <w:bCs/>
          <w:spacing w:val="10"/>
          <w:sz w:val="22"/>
          <w:szCs w:val="22"/>
          <w:lang w:val="es-ES" w:eastAsia="es-ES"/>
        </w:rPr>
        <w:t xml:space="preserve">CUARTO: </w:t>
      </w:r>
      <w:r>
        <w:rPr>
          <w:rFonts w:ascii="Tahoma" w:hAnsi="Tahoma" w:cs="Tahoma"/>
          <w:spacing w:val="10"/>
          <w:sz w:val="22"/>
          <w:szCs w:val="22"/>
          <w:lang w:val="es-ES" w:eastAsia="es-ES"/>
        </w:rPr>
        <w:t xml:space="preserve">Es importante acotar que el líbelo que aquí se estudia, ya había sido trasladado a este Tribunal mediante </w:t>
      </w:r>
      <w:r>
        <w:rPr>
          <w:rFonts w:ascii="Tahoma" w:hAnsi="Tahoma" w:cs="Tahoma"/>
          <w:b/>
          <w:bCs/>
          <w:spacing w:val="10"/>
          <w:sz w:val="22"/>
          <w:szCs w:val="22"/>
          <w:lang w:val="es-ES" w:eastAsia="es-ES"/>
        </w:rPr>
        <w:t xml:space="preserve">acuerdo 7.2.22 de la Sesión 59-2014 de 15 de octubre de 2014, </w:t>
      </w:r>
      <w:r>
        <w:rPr>
          <w:rFonts w:ascii="Tahoma" w:hAnsi="Tahoma" w:cs="Tahoma"/>
          <w:spacing w:val="10"/>
          <w:sz w:val="22"/>
          <w:szCs w:val="22"/>
          <w:lang w:val="es-ES" w:eastAsia="es-ES"/>
        </w:rPr>
        <w:t xml:space="preserve">el que en sustento del informe de la </w:t>
      </w:r>
      <w:r>
        <w:rPr>
          <w:rFonts w:ascii="Tahoma" w:hAnsi="Tahoma" w:cs="Tahoma"/>
          <w:b/>
          <w:bCs/>
          <w:spacing w:val="10"/>
          <w:sz w:val="22"/>
          <w:szCs w:val="22"/>
          <w:lang w:val="es-ES" w:eastAsia="es-ES"/>
        </w:rPr>
        <w:t xml:space="preserve">Dirección de Asuntos Jurídicos el DAJ-2014-001845 de 9 de mayo de 2014, </w:t>
      </w:r>
      <w:r>
        <w:rPr>
          <w:rFonts w:ascii="Tahoma" w:hAnsi="Tahoma" w:cs="Tahoma"/>
          <w:spacing w:val="10"/>
          <w:sz w:val="22"/>
          <w:szCs w:val="22"/>
          <w:lang w:val="es-ES" w:eastAsia="es-ES"/>
        </w:rPr>
        <w:t xml:space="preserve">rechazo el recurso por considerar que la prevención realizada a la recurrente si fue notificada en el lugar indicado y además que se incumplió en la especie con la Ley 9027 (léanse folios del 35 al 40 del expediente administrativo) Dicho acuerdo fue anulado por el Tribunal Administrativo de Transporte, mediante Resolución </w:t>
      </w:r>
      <w:r>
        <w:rPr>
          <w:rFonts w:ascii="Tahoma" w:hAnsi="Tahoma" w:cs="Tahoma"/>
          <w:b/>
          <w:bCs/>
          <w:spacing w:val="10"/>
          <w:sz w:val="22"/>
          <w:szCs w:val="22"/>
          <w:lang w:val="es-ES" w:eastAsia="es-ES"/>
        </w:rPr>
        <w:t>TAT-2874-2015 de las diez horas con cuarenta y siete minutos del dieciocho de diciembre de dos mil quinc</w:t>
      </w:r>
      <w:r w:rsidR="006737AC">
        <w:rPr>
          <w:rFonts w:ascii="Tahoma" w:hAnsi="Tahoma" w:cs="Tahoma"/>
          <w:b/>
          <w:bCs/>
          <w:spacing w:val="10"/>
          <w:sz w:val="22"/>
          <w:szCs w:val="22"/>
          <w:lang w:val="es-ES" w:eastAsia="es-ES"/>
        </w:rPr>
        <w:t>e</w:t>
      </w:r>
      <w:r>
        <w:rPr>
          <w:rFonts w:ascii="Tahoma" w:hAnsi="Tahoma" w:cs="Tahoma"/>
          <w:b/>
          <w:bCs/>
          <w:spacing w:val="10"/>
          <w:sz w:val="22"/>
          <w:szCs w:val="22"/>
          <w:lang w:val="es-ES" w:eastAsia="es-ES"/>
        </w:rPr>
        <w:t xml:space="preserve">, </w:t>
      </w:r>
      <w:r>
        <w:rPr>
          <w:rFonts w:ascii="Tahoma" w:hAnsi="Tahoma" w:cs="Tahoma"/>
          <w:spacing w:val="10"/>
          <w:sz w:val="22"/>
          <w:szCs w:val="22"/>
          <w:lang w:val="es-ES" w:eastAsia="es-ES"/>
        </w:rPr>
        <w:t>por cuanto nunca se elevó el expediente a este despacho. (léanse folios del 13 al 20 del expediente administrativo)</w:t>
      </w:r>
    </w:p>
    <w:p w:rsidR="001F0ACE" w:rsidRDefault="00DE6731">
      <w:pPr>
        <w:kinsoku w:val="0"/>
        <w:overflowPunct w:val="0"/>
        <w:autoSpaceDE/>
        <w:autoSpaceDN/>
        <w:adjustRightInd/>
        <w:spacing w:before="282" w:line="260" w:lineRule="exact"/>
        <w:ind w:left="72" w:right="72"/>
        <w:jc w:val="both"/>
        <w:textAlignment w:val="baseline"/>
        <w:rPr>
          <w:rFonts w:ascii="Tahoma" w:hAnsi="Tahoma" w:cs="Tahoma"/>
          <w:spacing w:val="8"/>
          <w:sz w:val="22"/>
          <w:szCs w:val="22"/>
          <w:lang w:val="es-ES" w:eastAsia="es-ES"/>
        </w:rPr>
      </w:pPr>
      <w:r>
        <w:rPr>
          <w:rFonts w:ascii="Tahoma" w:hAnsi="Tahoma" w:cs="Tahoma"/>
          <w:b/>
          <w:bCs/>
          <w:spacing w:val="8"/>
          <w:sz w:val="22"/>
          <w:szCs w:val="22"/>
          <w:lang w:val="es-ES" w:eastAsia="es-ES"/>
        </w:rPr>
        <w:t xml:space="preserve">QUINTO: </w:t>
      </w:r>
      <w:r>
        <w:rPr>
          <w:rFonts w:ascii="Tahoma" w:hAnsi="Tahoma" w:cs="Tahoma"/>
          <w:spacing w:val="8"/>
          <w:sz w:val="22"/>
          <w:szCs w:val="22"/>
          <w:lang w:val="es-ES" w:eastAsia="es-ES"/>
        </w:rPr>
        <w:t xml:space="preserve">Ante prevención que realizara éste Tribunal la recurrente se apersona el 2 de mayo de 2017 y manifiesta en lo </w:t>
      </w:r>
      <w:r w:rsidR="006737AC">
        <w:rPr>
          <w:rFonts w:ascii="Tahoma" w:hAnsi="Tahoma" w:cs="Tahoma"/>
          <w:spacing w:val="8"/>
          <w:sz w:val="22"/>
          <w:szCs w:val="22"/>
          <w:lang w:val="es-ES" w:eastAsia="es-ES"/>
        </w:rPr>
        <w:t>conducente</w:t>
      </w:r>
      <w:r>
        <w:rPr>
          <w:rFonts w:ascii="Tahoma" w:hAnsi="Tahoma" w:cs="Tahoma"/>
          <w:spacing w:val="8"/>
          <w:sz w:val="22"/>
          <w:szCs w:val="22"/>
          <w:lang w:val="es-ES" w:eastAsia="es-ES"/>
        </w:rPr>
        <w:t xml:space="preserve"> que presenta incidente de nulidad y excepción de caducidad del procedimiento, pues desde el mes de enero de 2016 se notificó al CTP la Resolución </w:t>
      </w:r>
      <w:r>
        <w:rPr>
          <w:rFonts w:ascii="Tahoma" w:hAnsi="Tahoma" w:cs="Tahoma"/>
          <w:b/>
          <w:bCs/>
          <w:spacing w:val="8"/>
          <w:sz w:val="22"/>
          <w:szCs w:val="22"/>
          <w:lang w:val="es-ES" w:eastAsia="es-ES"/>
        </w:rPr>
        <w:t xml:space="preserve">TAT-2874-2015 de las diez horas con cuarenta y siete minutos del </w:t>
      </w:r>
      <w:r w:rsidR="006737AC">
        <w:rPr>
          <w:rFonts w:ascii="Tahoma" w:hAnsi="Tahoma" w:cs="Tahoma"/>
          <w:b/>
          <w:bCs/>
          <w:spacing w:val="8"/>
          <w:sz w:val="22"/>
          <w:szCs w:val="22"/>
          <w:lang w:val="es-ES" w:eastAsia="es-ES"/>
        </w:rPr>
        <w:t>dieciocho</w:t>
      </w:r>
      <w:r>
        <w:rPr>
          <w:rFonts w:ascii="Tahoma" w:hAnsi="Tahoma" w:cs="Tahoma"/>
          <w:b/>
          <w:bCs/>
          <w:spacing w:val="8"/>
          <w:sz w:val="22"/>
          <w:szCs w:val="22"/>
          <w:lang w:val="es-ES" w:eastAsia="es-ES"/>
        </w:rPr>
        <w:t xml:space="preserve">, de diciembre de dos mil quince, del TAT, </w:t>
      </w:r>
      <w:r>
        <w:rPr>
          <w:rFonts w:ascii="Tahoma" w:hAnsi="Tahoma" w:cs="Tahoma"/>
          <w:spacing w:val="8"/>
          <w:sz w:val="22"/>
          <w:szCs w:val="22"/>
          <w:lang w:val="es-ES" w:eastAsia="es-ES"/>
        </w:rPr>
        <w:t>y no es sino hasta trece meses, después con total decidía que se vuelve a rechazar el recurso presentado, por lo que alega la caducidad en la etapa de impugnación y firmeza del acto final o de sanción y Nulidad por duración excesiva de todo el procedimiento. (Léase folios del 234 al 258 del expediente administrativo)</w:t>
      </w:r>
    </w:p>
    <w:p w:rsidR="001F0ACE" w:rsidRDefault="00DE6731">
      <w:pPr>
        <w:kinsoku w:val="0"/>
        <w:overflowPunct w:val="0"/>
        <w:autoSpaceDE/>
        <w:autoSpaceDN/>
        <w:adjustRightInd/>
        <w:spacing w:before="259" w:line="260" w:lineRule="exact"/>
        <w:ind w:left="72" w:right="72"/>
        <w:jc w:val="both"/>
        <w:textAlignment w:val="baseline"/>
        <w:rPr>
          <w:rFonts w:ascii="Tahoma" w:hAnsi="Tahoma" w:cs="Tahoma"/>
          <w:spacing w:val="12"/>
          <w:sz w:val="22"/>
          <w:szCs w:val="22"/>
          <w:lang w:val="es-ES" w:eastAsia="es-ES"/>
        </w:rPr>
      </w:pPr>
      <w:r>
        <w:rPr>
          <w:rFonts w:ascii="Tahoma" w:hAnsi="Tahoma" w:cs="Tahoma"/>
          <w:b/>
          <w:bCs/>
          <w:spacing w:val="12"/>
          <w:sz w:val="22"/>
          <w:szCs w:val="22"/>
          <w:lang w:val="es-ES" w:eastAsia="es-ES"/>
        </w:rPr>
        <w:t xml:space="preserve">SEXTO: </w:t>
      </w:r>
      <w:r>
        <w:rPr>
          <w:rFonts w:ascii="Tahoma" w:hAnsi="Tahoma" w:cs="Tahoma"/>
          <w:spacing w:val="12"/>
          <w:sz w:val="22"/>
          <w:szCs w:val="22"/>
          <w:lang w:val="es-ES" w:eastAsia="es-ES"/>
        </w:rPr>
        <w:t>El 30 de julio de 2012 la recurrente presentó ante el CTP, oficio con fecha 27 del mismo mes y año en el que solicita se le traspase la concesión otorgada a su difunto marido G</w:t>
      </w:r>
      <w:r w:rsidR="006737AC">
        <w:rPr>
          <w:rFonts w:ascii="Tahoma" w:hAnsi="Tahoma" w:cs="Tahoma"/>
          <w:spacing w:val="12"/>
          <w:sz w:val="22"/>
          <w:szCs w:val="22"/>
          <w:lang w:val="es-ES" w:eastAsia="es-ES"/>
        </w:rPr>
        <w:t>.V.V.</w:t>
      </w:r>
      <w:r>
        <w:rPr>
          <w:rFonts w:ascii="Tahoma" w:hAnsi="Tahoma" w:cs="Tahoma"/>
          <w:spacing w:val="12"/>
          <w:sz w:val="22"/>
          <w:szCs w:val="22"/>
          <w:lang w:val="es-ES" w:eastAsia="es-ES"/>
        </w:rPr>
        <w:t xml:space="preserve">, por ser el único sustento que tiene y solicita se le notifique al correo electrónico </w:t>
      </w:r>
      <w:r w:rsidR="006737AC">
        <w:rPr>
          <w:rFonts w:ascii="Tahoma" w:hAnsi="Tahoma" w:cs="Tahoma"/>
          <w:spacing w:val="12"/>
          <w:sz w:val="22"/>
          <w:szCs w:val="22"/>
          <w:u w:val="single"/>
          <w:lang w:val="es-ES" w:eastAsia="es-ES"/>
        </w:rPr>
        <w:t>xxxxxxx@gmail.</w:t>
      </w:r>
      <w:r>
        <w:rPr>
          <w:rFonts w:ascii="Tahoma" w:hAnsi="Tahoma" w:cs="Tahoma"/>
          <w:spacing w:val="12"/>
          <w:sz w:val="22"/>
          <w:szCs w:val="22"/>
          <w:u w:val="single"/>
          <w:lang w:val="es-ES" w:eastAsia="es-ES"/>
        </w:rPr>
        <w:t>com.</w:t>
      </w:r>
      <w:r>
        <w:rPr>
          <w:rFonts w:ascii="Tahoma" w:hAnsi="Tahoma" w:cs="Tahoma"/>
          <w:spacing w:val="12"/>
          <w:sz w:val="22"/>
          <w:szCs w:val="22"/>
          <w:lang w:val="es-ES" w:eastAsia="es-ES"/>
        </w:rPr>
        <w:t xml:space="preserve"> </w:t>
      </w:r>
      <w:r>
        <w:rPr>
          <w:rFonts w:ascii="Tahoma" w:hAnsi="Tahoma" w:cs="Tahoma"/>
          <w:b/>
          <w:bCs/>
          <w:spacing w:val="12"/>
          <w:sz w:val="22"/>
          <w:szCs w:val="22"/>
          <w:lang w:val="es-ES" w:eastAsia="es-ES"/>
        </w:rPr>
        <w:t xml:space="preserve">El concesionario murió el 24 de setiembre de 2011. </w:t>
      </w:r>
      <w:r>
        <w:rPr>
          <w:rFonts w:ascii="Tahoma" w:hAnsi="Tahoma" w:cs="Tahoma"/>
          <w:spacing w:val="12"/>
          <w:sz w:val="22"/>
          <w:szCs w:val="22"/>
          <w:lang w:val="es-ES" w:eastAsia="es-ES"/>
        </w:rPr>
        <w:t>(ver folios 112 y 140 del expediente administrativo)</w:t>
      </w:r>
    </w:p>
    <w:p w:rsidR="001F0ACE" w:rsidRDefault="00DE6731">
      <w:pPr>
        <w:kinsoku w:val="0"/>
        <w:overflowPunct w:val="0"/>
        <w:autoSpaceDE/>
        <w:autoSpaceDN/>
        <w:adjustRightInd/>
        <w:spacing w:before="263" w:after="614" w:line="261" w:lineRule="exact"/>
        <w:ind w:left="72" w:right="72"/>
        <w:jc w:val="both"/>
        <w:textAlignment w:val="baseline"/>
        <w:rPr>
          <w:rFonts w:ascii="Tahoma" w:hAnsi="Tahoma" w:cs="Tahoma"/>
          <w:spacing w:val="9"/>
          <w:sz w:val="22"/>
          <w:szCs w:val="22"/>
          <w:lang w:val="es-ES" w:eastAsia="es-ES"/>
        </w:rPr>
      </w:pPr>
      <w:r>
        <w:rPr>
          <w:rFonts w:ascii="Tahoma" w:hAnsi="Tahoma" w:cs="Tahoma"/>
          <w:b/>
          <w:bCs/>
          <w:spacing w:val="9"/>
          <w:sz w:val="22"/>
          <w:szCs w:val="22"/>
          <w:lang w:val="es-ES" w:eastAsia="es-ES"/>
        </w:rPr>
        <w:t xml:space="preserve">SETIMO: </w:t>
      </w:r>
      <w:r>
        <w:rPr>
          <w:rFonts w:ascii="Tahoma" w:hAnsi="Tahoma" w:cs="Tahoma"/>
          <w:spacing w:val="9"/>
          <w:sz w:val="22"/>
          <w:szCs w:val="22"/>
          <w:lang w:val="es-ES" w:eastAsia="es-ES"/>
        </w:rPr>
        <w:t xml:space="preserve">La Dirección de Asuntos Jurídicos, del CTP mediante </w:t>
      </w:r>
      <w:r>
        <w:rPr>
          <w:rFonts w:ascii="Tahoma" w:hAnsi="Tahoma" w:cs="Tahoma"/>
          <w:b/>
          <w:bCs/>
          <w:spacing w:val="9"/>
          <w:sz w:val="22"/>
          <w:szCs w:val="22"/>
          <w:lang w:val="es-ES" w:eastAsia="es-ES"/>
        </w:rPr>
        <w:t xml:space="preserve">informe 2012003813 de 24 de octubre de 2012, </w:t>
      </w:r>
      <w:r>
        <w:rPr>
          <w:rFonts w:ascii="Tahoma" w:hAnsi="Tahoma" w:cs="Tahoma"/>
          <w:spacing w:val="9"/>
          <w:sz w:val="22"/>
          <w:szCs w:val="22"/>
          <w:lang w:val="es-ES" w:eastAsia="es-ES"/>
        </w:rPr>
        <w:t>previene a la recurrente aportar una serie de requisitos, y en el encabezado indica que se le notifique a la dirección</w:t>
      </w:r>
    </w:p>
    <w:p w:rsidR="001F0ACE" w:rsidRDefault="001F0ACE">
      <w:pPr>
        <w:widowControl/>
        <w:rPr>
          <w:sz w:val="24"/>
          <w:szCs w:val="24"/>
        </w:rPr>
        <w:sectPr w:rsidR="001F0ACE">
          <w:pgSz w:w="12134" w:h="15840"/>
          <w:pgMar w:top="2120" w:right="1865" w:bottom="90" w:left="1449" w:header="720" w:footer="720" w:gutter="0"/>
          <w:cols w:space="720"/>
          <w:noEndnote/>
        </w:sectPr>
      </w:pPr>
    </w:p>
    <w:p w:rsidR="001F0ACE" w:rsidRDefault="00DE6731">
      <w:pPr>
        <w:tabs>
          <w:tab w:val="right" w:pos="3168"/>
        </w:tabs>
        <w:kinsoku w:val="0"/>
        <w:overflowPunct w:val="0"/>
        <w:autoSpaceDE/>
        <w:autoSpaceDN/>
        <w:adjustRightInd/>
        <w:spacing w:line="249" w:lineRule="exact"/>
        <w:textAlignment w:val="baseline"/>
        <w:rPr>
          <w:rFonts w:ascii="Tahoma" w:hAnsi="Tahoma" w:cs="Tahoma"/>
          <w:sz w:val="22"/>
          <w:szCs w:val="22"/>
          <w:lang w:val="es-ES" w:eastAsia="es-ES"/>
        </w:rPr>
      </w:pPr>
      <w:r>
        <w:rPr>
          <w:sz w:val="21"/>
          <w:szCs w:val="21"/>
          <w:lang w:val="es-ES" w:eastAsia="es-ES"/>
        </w:rPr>
        <w:tab/>
      </w:r>
    </w:p>
    <w:p w:rsidR="001F0ACE" w:rsidRDefault="001F0ACE">
      <w:pPr>
        <w:widowControl/>
        <w:rPr>
          <w:sz w:val="24"/>
          <w:szCs w:val="24"/>
        </w:rPr>
        <w:sectPr w:rsidR="001F0ACE">
          <w:type w:val="continuous"/>
          <w:pgSz w:w="12134" w:h="15840"/>
          <w:pgMar w:top="2120" w:right="1947" w:bottom="90" w:left="7027" w:header="720" w:footer="720" w:gutter="0"/>
          <w:cols w:space="720"/>
          <w:noEndnote/>
        </w:sectPr>
      </w:pPr>
    </w:p>
    <w:p w:rsidR="001F0ACE" w:rsidRDefault="00DE6731">
      <w:pPr>
        <w:kinsoku w:val="0"/>
        <w:overflowPunct w:val="0"/>
        <w:autoSpaceDE/>
        <w:autoSpaceDN/>
        <w:adjustRightInd/>
        <w:spacing w:before="13" w:line="264" w:lineRule="exact"/>
        <w:ind w:right="144"/>
        <w:jc w:val="both"/>
        <w:textAlignment w:val="baseline"/>
        <w:rPr>
          <w:rFonts w:ascii="Verdana" w:hAnsi="Verdana" w:cs="Verdana"/>
          <w:sz w:val="21"/>
          <w:szCs w:val="21"/>
          <w:lang w:val="es-ES" w:eastAsia="es-ES"/>
        </w:rPr>
      </w:pPr>
      <w:r w:rsidRPr="006737AC">
        <w:rPr>
          <w:rFonts w:ascii="Verdana" w:hAnsi="Verdana" w:cs="Verdana"/>
          <w:sz w:val="21"/>
          <w:szCs w:val="21"/>
          <w:lang w:val="es-ES" w:eastAsia="es-ES"/>
        </w:rPr>
        <w:lastRenderedPageBreak/>
        <w:t xml:space="preserve">electrónica </w:t>
      </w:r>
      <w:hyperlink r:id="rId5" w:history="1">
        <w:r w:rsidR="006737AC" w:rsidRPr="006737AC">
          <w:rPr>
            <w:rStyle w:val="Hipervnculo"/>
            <w:rFonts w:ascii="Verdana" w:hAnsi="Verdana" w:cs="Verdana"/>
            <w:color w:val="auto"/>
            <w:sz w:val="21"/>
            <w:szCs w:val="21"/>
            <w:lang w:val="es-ES" w:eastAsia="es-ES"/>
          </w:rPr>
          <w:t>xxxxxxxx@gmail.com</w:t>
        </w:r>
      </w:hyperlink>
      <w:r w:rsidRPr="006737AC">
        <w:rPr>
          <w:rFonts w:ascii="Verdana" w:hAnsi="Verdana" w:cs="Verdana"/>
          <w:sz w:val="21"/>
          <w:szCs w:val="21"/>
          <w:u w:val="single"/>
          <w:lang w:val="es-ES" w:eastAsia="es-ES"/>
        </w:rPr>
        <w:t>.;</w:t>
      </w:r>
      <w:r w:rsidRPr="006737AC">
        <w:rPr>
          <w:rFonts w:ascii="Verdana" w:hAnsi="Verdana" w:cs="Verdana"/>
          <w:sz w:val="21"/>
          <w:szCs w:val="21"/>
          <w:lang w:val="es-ES" w:eastAsia="es-ES"/>
        </w:rPr>
        <w:t xml:space="preserve"> si bien no se aporta el acta de notificación,</w:t>
      </w:r>
      <w:r>
        <w:rPr>
          <w:rFonts w:ascii="Verdana" w:hAnsi="Verdana" w:cs="Verdana"/>
          <w:sz w:val="21"/>
          <w:szCs w:val="21"/>
          <w:lang w:val="es-ES" w:eastAsia="es-ES"/>
        </w:rPr>
        <w:t xml:space="preserve"> dicho documento fue recibido por la recurrente pues se apersona al CTP el 6 de noviembre de 2012 y da respuesta a lo ordenado en el informe supra</w:t>
      </w:r>
      <w:r w:rsidR="006737AC">
        <w:rPr>
          <w:rFonts w:ascii="Verdana" w:hAnsi="Verdana" w:cs="Verdana"/>
          <w:sz w:val="21"/>
          <w:szCs w:val="21"/>
          <w:lang w:val="es-ES" w:eastAsia="es-ES"/>
        </w:rPr>
        <w:t xml:space="preserve"> </w:t>
      </w:r>
      <w:r>
        <w:rPr>
          <w:rFonts w:ascii="Verdana" w:hAnsi="Verdana" w:cs="Verdana"/>
          <w:sz w:val="21"/>
          <w:szCs w:val="21"/>
          <w:lang w:val="es-ES" w:eastAsia="es-ES"/>
        </w:rPr>
        <w:t xml:space="preserve">indicado, así mismo en dicho documento cambia de lugar para recibir notificaciones, por el </w:t>
      </w:r>
      <w:r>
        <w:rPr>
          <w:rFonts w:ascii="Verdana" w:hAnsi="Verdana" w:cs="Verdana"/>
          <w:b/>
          <w:bCs/>
          <w:sz w:val="21"/>
          <w:szCs w:val="21"/>
          <w:lang w:val="es-ES" w:eastAsia="es-ES"/>
        </w:rPr>
        <w:t xml:space="preserve">fax </w:t>
      </w:r>
      <w:r w:rsidR="006737AC">
        <w:rPr>
          <w:rFonts w:ascii="Verdana" w:hAnsi="Verdana" w:cs="Verdana"/>
          <w:b/>
          <w:bCs/>
          <w:sz w:val="21"/>
          <w:szCs w:val="21"/>
          <w:lang w:val="es-ES" w:eastAsia="es-ES"/>
        </w:rPr>
        <w:t>XXXX</w:t>
      </w:r>
      <w:r>
        <w:rPr>
          <w:rFonts w:ascii="Verdana" w:hAnsi="Verdana" w:cs="Verdana"/>
          <w:b/>
          <w:bCs/>
          <w:sz w:val="21"/>
          <w:szCs w:val="21"/>
          <w:lang w:val="es-ES" w:eastAsia="es-ES"/>
        </w:rPr>
        <w:t>-</w:t>
      </w:r>
      <w:r w:rsidR="006737AC">
        <w:rPr>
          <w:rFonts w:ascii="Verdana" w:hAnsi="Verdana" w:cs="Verdana"/>
          <w:b/>
          <w:bCs/>
          <w:sz w:val="21"/>
          <w:szCs w:val="21"/>
          <w:lang w:val="es-ES" w:eastAsia="es-ES"/>
        </w:rPr>
        <w:t>XXXX</w:t>
      </w:r>
      <w:r>
        <w:rPr>
          <w:rFonts w:ascii="Verdana" w:hAnsi="Verdana" w:cs="Verdana"/>
          <w:b/>
          <w:bCs/>
          <w:sz w:val="21"/>
          <w:szCs w:val="21"/>
          <w:lang w:val="es-ES" w:eastAsia="es-ES"/>
        </w:rPr>
        <w:t xml:space="preserve">. </w:t>
      </w:r>
      <w:r>
        <w:rPr>
          <w:rFonts w:ascii="Verdana" w:hAnsi="Verdana" w:cs="Verdana"/>
          <w:sz w:val="21"/>
          <w:szCs w:val="21"/>
          <w:lang w:val="es-ES" w:eastAsia="es-ES"/>
        </w:rPr>
        <w:t>(ver folios 103 y 105 del expediente administrativo)</w:t>
      </w:r>
    </w:p>
    <w:p w:rsidR="001F0ACE" w:rsidRDefault="00DE6731">
      <w:pPr>
        <w:kinsoku w:val="0"/>
        <w:overflowPunct w:val="0"/>
        <w:autoSpaceDE/>
        <w:autoSpaceDN/>
        <w:adjustRightInd/>
        <w:spacing w:before="270" w:line="264"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OCTAVO: </w:t>
      </w:r>
      <w:r>
        <w:rPr>
          <w:rFonts w:ascii="Verdana" w:hAnsi="Verdana" w:cs="Verdana"/>
          <w:sz w:val="21"/>
          <w:szCs w:val="21"/>
          <w:lang w:val="es-ES" w:eastAsia="es-ES"/>
        </w:rPr>
        <w:t>En los procedimientos seguidos se han observado las prescripciones legales.</w:t>
      </w:r>
    </w:p>
    <w:p w:rsidR="001F0ACE" w:rsidRDefault="00DE6731">
      <w:pPr>
        <w:kinsoku w:val="0"/>
        <w:overflowPunct w:val="0"/>
        <w:autoSpaceDE/>
        <w:autoSpaceDN/>
        <w:adjustRightInd/>
        <w:spacing w:before="263" w:line="251" w:lineRule="exact"/>
        <w:textAlignment w:val="baseline"/>
        <w:rPr>
          <w:rFonts w:ascii="Verdana" w:hAnsi="Verdana" w:cs="Verdana"/>
          <w:b/>
          <w:bCs/>
          <w:spacing w:val="1"/>
          <w:sz w:val="21"/>
          <w:szCs w:val="21"/>
          <w:lang w:val="es-ES" w:eastAsia="es-ES"/>
        </w:rPr>
      </w:pPr>
      <w:r>
        <w:rPr>
          <w:rFonts w:ascii="Verdana" w:hAnsi="Verdana" w:cs="Verdana"/>
          <w:b/>
          <w:bCs/>
          <w:spacing w:val="1"/>
          <w:sz w:val="21"/>
          <w:szCs w:val="21"/>
          <w:lang w:val="es-ES" w:eastAsia="es-ES"/>
        </w:rPr>
        <w:t>Redacta la Jueza Pérez Peláez.</w:t>
      </w:r>
    </w:p>
    <w:p w:rsidR="001F0ACE" w:rsidRDefault="00DE6731">
      <w:pPr>
        <w:kinsoku w:val="0"/>
        <w:overflowPunct w:val="0"/>
        <w:autoSpaceDE/>
        <w:autoSpaceDN/>
        <w:adjustRightInd/>
        <w:spacing w:before="517" w:line="259" w:lineRule="exact"/>
        <w:jc w:val="center"/>
        <w:textAlignment w:val="baseline"/>
        <w:rPr>
          <w:rFonts w:ascii="Verdana" w:hAnsi="Verdana" w:cs="Verdana"/>
          <w:b/>
          <w:bCs/>
          <w:spacing w:val="3"/>
          <w:sz w:val="21"/>
          <w:szCs w:val="21"/>
          <w:lang w:val="es-ES" w:eastAsia="es-ES"/>
        </w:rPr>
      </w:pPr>
      <w:r>
        <w:rPr>
          <w:rFonts w:ascii="Verdana" w:hAnsi="Verdana" w:cs="Verdana"/>
          <w:b/>
          <w:bCs/>
          <w:spacing w:val="3"/>
          <w:sz w:val="21"/>
          <w:szCs w:val="21"/>
          <w:lang w:val="es-ES" w:eastAsia="es-ES"/>
        </w:rPr>
        <w:t>CONSIDERANDO ÚNICO</w:t>
      </w:r>
    </w:p>
    <w:p w:rsidR="001F0ACE" w:rsidRDefault="00DE6731">
      <w:pPr>
        <w:kinsoku w:val="0"/>
        <w:overflowPunct w:val="0"/>
        <w:autoSpaceDE/>
        <w:autoSpaceDN/>
        <w:adjustRightInd/>
        <w:spacing w:before="528" w:line="264" w:lineRule="exact"/>
        <w:ind w:left="144"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SOBRE LA COMPETENCIA: </w:t>
      </w:r>
      <w:r>
        <w:rPr>
          <w:rFonts w:ascii="Verdana" w:hAnsi="Verdana" w:cs="Verdana"/>
          <w:sz w:val="21"/>
          <w:szCs w:val="21"/>
          <w:lang w:val="es-ES" w:eastAsia="es-ES"/>
        </w:rPr>
        <w:t xml:space="preserve">El </w:t>
      </w:r>
      <w:r>
        <w:rPr>
          <w:rFonts w:ascii="Verdana" w:hAnsi="Verdana" w:cs="Verdana"/>
          <w:sz w:val="17"/>
          <w:szCs w:val="17"/>
          <w:lang w:val="es-ES" w:eastAsia="es-ES"/>
        </w:rPr>
        <w:t xml:space="preserve">TRIBUNAL ADMINISTRATIVO DE TRANSPORTE </w:t>
      </w:r>
      <w:r>
        <w:rPr>
          <w:rFonts w:ascii="Verdana" w:hAnsi="Verdana" w:cs="Verdana"/>
          <w:sz w:val="21"/>
          <w:szCs w:val="21"/>
          <w:lang w:val="es-ES" w:eastAsia="es-ES"/>
        </w:rPr>
        <w:t xml:space="preserve">es el competente para conocer y resolver el presente </w:t>
      </w:r>
      <w:r>
        <w:rPr>
          <w:rFonts w:ascii="Verdana" w:hAnsi="Verdana" w:cs="Verdana"/>
          <w:sz w:val="17"/>
          <w:szCs w:val="17"/>
          <w:lang w:val="es-ES" w:eastAsia="es-ES"/>
        </w:rPr>
        <w:t xml:space="preserve">RECURSO DE APELACIÓN EN SUBSIDIO, De </w:t>
      </w:r>
      <w:r>
        <w:rPr>
          <w:rFonts w:ascii="Verdana" w:hAnsi="Verdana" w:cs="Verdana"/>
          <w:sz w:val="21"/>
          <w:szCs w:val="21"/>
          <w:lang w:val="es-ES" w:eastAsia="es-ES"/>
        </w:rPr>
        <w:t>conformidad con el Artículo 22 de la Ley Reguladora del Servicio Público de Transporte Remunerado de Personas en Vehículos en la Modalidad de Taxi, N. 7969 del 22 de diciembre de 1999.</w:t>
      </w:r>
    </w:p>
    <w:p w:rsidR="001F0ACE" w:rsidRDefault="00DE6731">
      <w:pPr>
        <w:kinsoku w:val="0"/>
        <w:overflowPunct w:val="0"/>
        <w:autoSpaceDE/>
        <w:autoSpaceDN/>
        <w:adjustRightInd/>
        <w:spacing w:before="268" w:line="251" w:lineRule="exact"/>
        <w:ind w:left="144"/>
        <w:textAlignment w:val="baseline"/>
        <w:rPr>
          <w:rFonts w:ascii="Verdana" w:hAnsi="Verdana" w:cs="Verdana"/>
          <w:b/>
          <w:bCs/>
          <w:spacing w:val="1"/>
          <w:sz w:val="21"/>
          <w:szCs w:val="21"/>
          <w:lang w:val="es-ES" w:eastAsia="es-ES"/>
        </w:rPr>
      </w:pPr>
      <w:r>
        <w:rPr>
          <w:rFonts w:ascii="Verdana" w:hAnsi="Verdana" w:cs="Verdana"/>
          <w:b/>
          <w:bCs/>
          <w:spacing w:val="1"/>
          <w:sz w:val="21"/>
          <w:szCs w:val="21"/>
          <w:lang w:val="es-ES" w:eastAsia="es-ES"/>
        </w:rPr>
        <w:t>SOBRE LA ADMISIBILIDAD DEL RECURSO:</w:t>
      </w:r>
    </w:p>
    <w:p w:rsidR="001F0ACE" w:rsidRDefault="00DE6731">
      <w:pPr>
        <w:kinsoku w:val="0"/>
        <w:overflowPunct w:val="0"/>
        <w:autoSpaceDE/>
        <w:autoSpaceDN/>
        <w:adjustRightInd/>
        <w:spacing w:before="273" w:line="264"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La señora </w:t>
      </w:r>
      <w:r>
        <w:rPr>
          <w:rFonts w:ascii="Verdana" w:hAnsi="Verdana" w:cs="Verdana"/>
          <w:b/>
          <w:bCs/>
          <w:sz w:val="21"/>
          <w:szCs w:val="21"/>
          <w:lang w:val="es-ES" w:eastAsia="es-ES"/>
        </w:rPr>
        <w:t>R</w:t>
      </w:r>
      <w:r w:rsidR="006737AC">
        <w:rPr>
          <w:rFonts w:ascii="Verdana" w:hAnsi="Verdana" w:cs="Verdana"/>
          <w:b/>
          <w:bCs/>
          <w:sz w:val="21"/>
          <w:szCs w:val="21"/>
          <w:lang w:val="es-ES" w:eastAsia="es-ES"/>
        </w:rPr>
        <w:t>.M.C.</w:t>
      </w:r>
      <w:r>
        <w:rPr>
          <w:rFonts w:ascii="Verdana" w:hAnsi="Verdana" w:cs="Verdana"/>
          <w:b/>
          <w:bCs/>
          <w:sz w:val="21"/>
          <w:szCs w:val="21"/>
          <w:lang w:val="es-ES" w:eastAsia="es-ES"/>
        </w:rPr>
        <w:t xml:space="preserve">, cédula de identidad </w:t>
      </w:r>
      <w:r w:rsidR="006737AC">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en su condición de </w:t>
      </w:r>
      <w:r>
        <w:rPr>
          <w:rFonts w:ascii="Verdana" w:hAnsi="Verdana" w:cs="Verdana"/>
          <w:b/>
          <w:bCs/>
          <w:sz w:val="21"/>
          <w:szCs w:val="21"/>
          <w:lang w:val="es-ES" w:eastAsia="es-ES"/>
        </w:rPr>
        <w:t>Albacea de la sucesión de G</w:t>
      </w:r>
      <w:r w:rsidR="006737AC">
        <w:rPr>
          <w:rFonts w:ascii="Verdana" w:hAnsi="Verdana" w:cs="Verdana"/>
          <w:b/>
          <w:bCs/>
          <w:sz w:val="21"/>
          <w:szCs w:val="21"/>
          <w:lang w:val="es-ES" w:eastAsia="es-ES"/>
        </w:rPr>
        <w:t>.V.V.</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quien en vida fuera el concesionario de Taxi de la placa número </w:t>
      </w:r>
      <w:r w:rsidR="006737AC">
        <w:rPr>
          <w:rFonts w:ascii="Verdana" w:hAnsi="Verdana" w:cs="Verdana"/>
          <w:b/>
          <w:bCs/>
          <w:sz w:val="21"/>
          <w:szCs w:val="21"/>
          <w:lang w:val="es-ES" w:eastAsia="es-ES"/>
        </w:rPr>
        <w:t>TSJ-XXXX</w:t>
      </w:r>
      <w:r>
        <w:rPr>
          <w:rFonts w:ascii="Verdana" w:hAnsi="Verdana" w:cs="Verdana"/>
          <w:b/>
          <w:bCs/>
          <w:sz w:val="21"/>
          <w:szCs w:val="21"/>
          <w:lang w:val="es-ES" w:eastAsia="es-ES"/>
        </w:rPr>
        <w:t xml:space="preserve">, </w:t>
      </w:r>
      <w:r>
        <w:rPr>
          <w:rFonts w:ascii="Verdana" w:hAnsi="Verdana" w:cs="Verdana"/>
          <w:sz w:val="21"/>
          <w:szCs w:val="21"/>
          <w:lang w:val="es-ES" w:eastAsia="es-ES"/>
        </w:rPr>
        <w:t>carece de Legitimación para recurrir el presente asunto por lo siguiente:</w:t>
      </w:r>
    </w:p>
    <w:p w:rsidR="001F0ACE" w:rsidRDefault="00DE6731">
      <w:pPr>
        <w:kinsoku w:val="0"/>
        <w:overflowPunct w:val="0"/>
        <w:autoSpaceDE/>
        <w:autoSpaceDN/>
        <w:adjustRightInd/>
        <w:spacing w:before="244" w:line="264" w:lineRule="exact"/>
        <w:ind w:left="144" w:right="144"/>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Este Tribunal Administrativo de Transporte advierte de las piezas del expediente que, según fotocopia de certificación del Registro Civil, (folio 140 del expediente), el señor </w:t>
      </w:r>
      <w:r>
        <w:rPr>
          <w:rFonts w:ascii="Verdana" w:hAnsi="Verdana" w:cs="Verdana"/>
          <w:b/>
          <w:bCs/>
          <w:sz w:val="21"/>
          <w:szCs w:val="21"/>
          <w:lang w:val="es-ES" w:eastAsia="es-ES"/>
        </w:rPr>
        <w:t>G</w:t>
      </w:r>
      <w:r w:rsidR="006737AC">
        <w:rPr>
          <w:rFonts w:ascii="Verdana" w:hAnsi="Verdana" w:cs="Verdana"/>
          <w:b/>
          <w:bCs/>
          <w:sz w:val="21"/>
          <w:szCs w:val="21"/>
          <w:lang w:val="es-ES" w:eastAsia="es-ES"/>
        </w:rPr>
        <w:t>.V.V.</w:t>
      </w:r>
      <w:r>
        <w:rPr>
          <w:rFonts w:ascii="Verdana" w:hAnsi="Verdana" w:cs="Verdana"/>
          <w:b/>
          <w:bCs/>
          <w:sz w:val="21"/>
          <w:szCs w:val="21"/>
          <w:lang w:val="es-ES" w:eastAsia="es-ES"/>
        </w:rPr>
        <w:t>, cédula de identidad</w:t>
      </w:r>
      <w:proofErr w:type="gramStart"/>
      <w:r>
        <w:rPr>
          <w:rFonts w:ascii="Verdana" w:hAnsi="Verdana" w:cs="Verdana"/>
          <w:b/>
          <w:bCs/>
          <w:sz w:val="21"/>
          <w:szCs w:val="21"/>
          <w:lang w:val="es-ES" w:eastAsia="es-ES"/>
        </w:rPr>
        <w:t xml:space="preserve"> </w:t>
      </w:r>
      <w:r w:rsidR="006737AC">
        <w:rPr>
          <w:rFonts w:ascii="Verdana" w:hAnsi="Verdana" w:cs="Verdana"/>
          <w:b/>
          <w:bCs/>
          <w:sz w:val="21"/>
          <w:szCs w:val="21"/>
          <w:lang w:val="es-ES" w:eastAsia="es-ES"/>
        </w:rPr>
        <w:t>….</w:t>
      </w:r>
      <w:proofErr w:type="gramEnd"/>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falleció en la ciudad de San José el día </w:t>
      </w:r>
      <w:r>
        <w:rPr>
          <w:rFonts w:ascii="Verdana" w:hAnsi="Verdana" w:cs="Verdana"/>
          <w:b/>
          <w:bCs/>
          <w:sz w:val="21"/>
          <w:szCs w:val="21"/>
          <w:lang w:val="es-ES" w:eastAsia="es-ES"/>
        </w:rPr>
        <w:t>24 de setiembre de 2011.</w:t>
      </w:r>
    </w:p>
    <w:p w:rsidR="001F0ACE" w:rsidRDefault="00DE6731" w:rsidP="006737AC">
      <w:pPr>
        <w:kinsoku w:val="0"/>
        <w:overflowPunct w:val="0"/>
        <w:autoSpaceDE/>
        <w:autoSpaceDN/>
        <w:adjustRightInd/>
        <w:spacing w:before="260" w:line="264" w:lineRule="exact"/>
        <w:ind w:left="14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La Ley 9027, Ley para autorizar la transmisibilidad de derechos de concesión por muerte del concesionario en el servicio público de taxis, Ley </w:t>
      </w:r>
      <w:proofErr w:type="spellStart"/>
      <w:r>
        <w:rPr>
          <w:rFonts w:ascii="Verdana" w:hAnsi="Verdana" w:cs="Verdana"/>
          <w:sz w:val="21"/>
          <w:szCs w:val="21"/>
          <w:lang w:val="es-ES" w:eastAsia="es-ES"/>
        </w:rPr>
        <w:t>N°</w:t>
      </w:r>
      <w:proofErr w:type="spellEnd"/>
      <w:r>
        <w:rPr>
          <w:rFonts w:ascii="Verdana" w:hAnsi="Verdana" w:cs="Verdana"/>
          <w:sz w:val="21"/>
          <w:szCs w:val="21"/>
          <w:lang w:val="es-ES" w:eastAsia="es-ES"/>
        </w:rPr>
        <w:t xml:space="preserve"> 9027 del 6 de febrero de 2012, reforma la Ley Reguladora del Servicio Público de Transporte Remunerado de Personas en Vehículos en la modalidad de Taxi, Ley 7969, con el fin de regular el traspaso de concesiones por muerte del concesionario.</w:t>
      </w:r>
    </w:p>
    <w:p w:rsidR="001F0ACE" w:rsidRDefault="00DE6731" w:rsidP="006737AC">
      <w:pPr>
        <w:kinsoku w:val="0"/>
        <w:overflowPunct w:val="0"/>
        <w:autoSpaceDE/>
        <w:autoSpaceDN/>
        <w:adjustRightInd/>
        <w:spacing w:before="240" w:line="264" w:lineRule="exact"/>
        <w:ind w:left="144"/>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En ella se determinan quienes pueden ser beneficiarios para que se les transmita la concesión y dispone que deberán en lo sucesivo los concesionarios registrar las personas que en caso de su muerte serán en calidad de titular y suplente los beneficiarios, de no hacerlo y acaecer un deceso se cancela la concesión, </w:t>
      </w:r>
      <w:r>
        <w:rPr>
          <w:rFonts w:ascii="Verdana" w:hAnsi="Verdana" w:cs="Verdana"/>
          <w:b/>
          <w:bCs/>
          <w:sz w:val="21"/>
          <w:szCs w:val="21"/>
          <w:lang w:val="es-ES" w:eastAsia="es-ES"/>
        </w:rPr>
        <w:t>artículo 42 bis adicionado a la Ley 7969.</w:t>
      </w:r>
    </w:p>
    <w:p w:rsidR="001F0ACE" w:rsidRDefault="00DE6731">
      <w:pPr>
        <w:kinsoku w:val="0"/>
        <w:overflowPunct w:val="0"/>
        <w:autoSpaceDE/>
        <w:autoSpaceDN/>
        <w:adjustRightInd/>
        <w:spacing w:before="280" w:line="249" w:lineRule="exact"/>
        <w:ind w:left="144"/>
        <w:textAlignment w:val="baseline"/>
        <w:rPr>
          <w:rFonts w:ascii="Verdana" w:hAnsi="Verdana" w:cs="Verdana"/>
          <w:sz w:val="21"/>
          <w:szCs w:val="21"/>
          <w:lang w:val="es-ES" w:eastAsia="es-ES"/>
        </w:rPr>
      </w:pPr>
      <w:r>
        <w:rPr>
          <w:rFonts w:ascii="Verdana" w:hAnsi="Verdana" w:cs="Verdana"/>
          <w:sz w:val="21"/>
          <w:szCs w:val="21"/>
          <w:lang w:val="es-ES" w:eastAsia="es-ES"/>
        </w:rPr>
        <w:t>No obstante, la Ley 9027 tiene un transitorio que otorga un plazo de 90 días para los interesados cuando el concesionario hubiere fallecido anterior a la vigencia de dicha ley:</w:t>
      </w:r>
    </w:p>
    <w:p w:rsidR="001F0ACE" w:rsidRDefault="00DE6731">
      <w:pPr>
        <w:tabs>
          <w:tab w:val="right" w:pos="8784"/>
        </w:tabs>
        <w:kinsoku w:val="0"/>
        <w:overflowPunct w:val="0"/>
        <w:autoSpaceDE/>
        <w:autoSpaceDN/>
        <w:adjustRightInd/>
        <w:spacing w:before="614" w:line="264" w:lineRule="exact"/>
        <w:ind w:left="5616"/>
        <w:textAlignment w:val="baseline"/>
        <w:rPr>
          <w:rFonts w:ascii="Verdana" w:hAnsi="Verdana" w:cs="Verdana"/>
          <w:sz w:val="21"/>
          <w:szCs w:val="21"/>
          <w:lang w:val="es-ES" w:eastAsia="es-ES"/>
        </w:rPr>
      </w:pPr>
      <w:r>
        <w:rPr>
          <w:sz w:val="19"/>
          <w:szCs w:val="19"/>
          <w:lang w:val="es-ES" w:eastAsia="es-ES"/>
        </w:rPr>
        <w:tab/>
      </w:r>
    </w:p>
    <w:p w:rsidR="001F0ACE" w:rsidRDefault="001F0ACE">
      <w:pPr>
        <w:widowControl/>
        <w:rPr>
          <w:sz w:val="24"/>
          <w:szCs w:val="24"/>
        </w:rPr>
        <w:sectPr w:rsidR="001F0ACE">
          <w:pgSz w:w="12134" w:h="15840"/>
          <w:pgMar w:top="2200" w:right="1606" w:bottom="30" w:left="1708" w:header="720" w:footer="720" w:gutter="0"/>
          <w:cols w:space="720"/>
          <w:noEndnote/>
        </w:sectPr>
      </w:pPr>
    </w:p>
    <w:p w:rsidR="001F0ACE" w:rsidRDefault="00DE6731">
      <w:pPr>
        <w:kinsoku w:val="0"/>
        <w:overflowPunct w:val="0"/>
        <w:autoSpaceDE/>
        <w:autoSpaceDN/>
        <w:adjustRightInd/>
        <w:spacing w:before="1523" w:line="263" w:lineRule="exact"/>
        <w:ind w:left="144"/>
        <w:textAlignment w:val="baseline"/>
        <w:rPr>
          <w:rFonts w:ascii="Verdana" w:hAnsi="Verdana" w:cs="Verdana"/>
          <w:b/>
          <w:bCs/>
          <w:i/>
          <w:iCs/>
          <w:spacing w:val="-4"/>
          <w:sz w:val="21"/>
          <w:szCs w:val="21"/>
          <w:lang w:val="es-ES" w:eastAsia="es-ES"/>
        </w:rPr>
      </w:pPr>
      <w:r>
        <w:rPr>
          <w:rFonts w:ascii="Verdana" w:hAnsi="Verdana" w:cs="Verdana"/>
          <w:b/>
          <w:bCs/>
          <w:i/>
          <w:iCs/>
          <w:spacing w:val="-4"/>
          <w:sz w:val="21"/>
          <w:szCs w:val="21"/>
          <w:lang w:val="es-ES" w:eastAsia="es-ES"/>
        </w:rPr>
        <w:lastRenderedPageBreak/>
        <w:t>"TRANSITORIO. -</w:t>
      </w:r>
    </w:p>
    <w:p w:rsidR="001F0ACE" w:rsidRDefault="00DE6731" w:rsidP="006737AC">
      <w:pPr>
        <w:kinsoku w:val="0"/>
        <w:overflowPunct w:val="0"/>
        <w:autoSpaceDE/>
        <w:autoSpaceDN/>
        <w:adjustRightInd/>
        <w:spacing w:before="496" w:line="208" w:lineRule="exact"/>
        <w:ind w:left="144" w:right="144"/>
        <w:jc w:val="both"/>
        <w:textAlignment w:val="baseline"/>
        <w:rPr>
          <w:rFonts w:ascii="Tahoma" w:hAnsi="Tahoma" w:cs="Tahoma"/>
          <w:i/>
          <w:iCs/>
          <w:sz w:val="22"/>
          <w:szCs w:val="22"/>
          <w:lang w:val="es-ES" w:eastAsia="es-ES"/>
        </w:rPr>
      </w:pPr>
      <w:r>
        <w:rPr>
          <w:rFonts w:ascii="Tahoma" w:hAnsi="Tahoma" w:cs="Tahoma"/>
          <w:i/>
          <w:iCs/>
          <w:sz w:val="22"/>
          <w:szCs w:val="22"/>
          <w:lang w:val="es-ES" w:eastAsia="es-ES"/>
        </w:rPr>
        <w:t xml:space="preserve">Autorizase al Consejo de Transporte Público para que, </w:t>
      </w:r>
      <w:r>
        <w:rPr>
          <w:rFonts w:ascii="Verdana" w:hAnsi="Verdana" w:cs="Verdana"/>
          <w:b/>
          <w:bCs/>
          <w:i/>
          <w:iCs/>
          <w:sz w:val="21"/>
          <w:szCs w:val="21"/>
          <w:u w:val="single"/>
          <w:lang w:val="es-ES" w:eastAsia="es-ES"/>
        </w:rPr>
        <w:t xml:space="preserve">durante los </w:t>
      </w:r>
      <w:proofErr w:type="gramStart"/>
      <w:r>
        <w:rPr>
          <w:rFonts w:ascii="Verdana" w:hAnsi="Verdana" w:cs="Verdana"/>
          <w:b/>
          <w:bCs/>
          <w:i/>
          <w:iCs/>
          <w:sz w:val="21"/>
          <w:szCs w:val="21"/>
          <w:u w:val="single"/>
          <w:lang w:val="es-ES" w:eastAsia="es-ES"/>
        </w:rPr>
        <w:t>noventa  días</w:t>
      </w:r>
      <w:proofErr w:type="gramEnd"/>
      <w:r>
        <w:rPr>
          <w:rFonts w:ascii="Verdana" w:hAnsi="Verdana" w:cs="Verdana"/>
          <w:b/>
          <w:bCs/>
          <w:i/>
          <w:iCs/>
          <w:sz w:val="21"/>
          <w:szCs w:val="21"/>
          <w:u w:val="single"/>
          <w:lang w:val="es-ES" w:eastAsia="es-ES"/>
        </w:rPr>
        <w:t xml:space="preserve"> siguientes a la publicación de la pre</w:t>
      </w:r>
      <w:r w:rsidR="006737AC">
        <w:rPr>
          <w:rFonts w:ascii="Verdana" w:hAnsi="Verdana" w:cs="Verdana"/>
          <w:b/>
          <w:bCs/>
          <w:i/>
          <w:iCs/>
          <w:sz w:val="21"/>
          <w:szCs w:val="21"/>
          <w:u w:val="single"/>
          <w:lang w:val="es-ES" w:eastAsia="es-ES"/>
        </w:rPr>
        <w:t>sente</w:t>
      </w:r>
      <w:r>
        <w:rPr>
          <w:rFonts w:ascii="Verdana" w:hAnsi="Verdana" w:cs="Verdana"/>
          <w:b/>
          <w:bCs/>
          <w:i/>
          <w:iCs/>
          <w:sz w:val="21"/>
          <w:szCs w:val="21"/>
          <w:u w:val="single"/>
          <w:lang w:val="es-ES" w:eastAsia="es-ES"/>
        </w:rPr>
        <w:t xml:space="preserve"> ley, conozca resuelva</w:t>
      </w:r>
      <w:r w:rsidR="006737AC">
        <w:rPr>
          <w:rFonts w:ascii="Verdana" w:hAnsi="Verdana" w:cs="Verdana"/>
          <w:b/>
          <w:bCs/>
          <w:i/>
          <w:iCs/>
          <w:sz w:val="21"/>
          <w:szCs w:val="21"/>
          <w:u w:val="single"/>
          <w:lang w:val="es-ES" w:eastAsia="es-ES"/>
        </w:rPr>
        <w:t xml:space="preserve"> </w:t>
      </w:r>
      <w:r>
        <w:rPr>
          <w:rFonts w:ascii="Verdana" w:hAnsi="Verdana" w:cs="Verdana"/>
          <w:b/>
          <w:bCs/>
          <w:i/>
          <w:iCs/>
          <w:sz w:val="21"/>
          <w:szCs w:val="21"/>
          <w:u w:val="single"/>
          <w:lang w:val="es-ES" w:eastAsia="es-ES"/>
        </w:rPr>
        <w:t>favorablemente las gestiones de tran</w:t>
      </w:r>
      <w:r w:rsidR="006737AC">
        <w:rPr>
          <w:rFonts w:ascii="Verdana" w:hAnsi="Verdana" w:cs="Verdana"/>
          <w:b/>
          <w:bCs/>
          <w:i/>
          <w:iCs/>
          <w:sz w:val="21"/>
          <w:szCs w:val="21"/>
          <w:u w:val="single"/>
          <w:lang w:val="es-ES" w:eastAsia="es-ES"/>
        </w:rPr>
        <w:t>smisibilidad</w:t>
      </w:r>
      <w:r>
        <w:rPr>
          <w:rFonts w:ascii="Verdana" w:hAnsi="Verdana" w:cs="Verdana"/>
          <w:b/>
          <w:bCs/>
          <w:i/>
          <w:iCs/>
          <w:sz w:val="21"/>
          <w:szCs w:val="21"/>
          <w:u w:val="single"/>
          <w:lang w:val="es-ES" w:eastAsia="es-ES"/>
        </w:rPr>
        <w:t xml:space="preserve"> de derechos por</w:t>
      </w:r>
      <w:r>
        <w:rPr>
          <w:rFonts w:ascii="Verdana" w:hAnsi="Verdana" w:cs="Verdana"/>
          <w:b/>
          <w:bCs/>
          <w:i/>
          <w:iCs/>
          <w:sz w:val="21"/>
          <w:szCs w:val="21"/>
          <w:u w:val="single"/>
          <w:lang w:val="es-ES" w:eastAsia="es-ES"/>
        </w:rPr>
        <w:br/>
        <w:t xml:space="preserve">muerte de la persona concesionaria en el servicio público de taxis, </w:t>
      </w:r>
      <w:r>
        <w:rPr>
          <w:rFonts w:ascii="Tahoma" w:hAnsi="Tahoma" w:cs="Tahoma"/>
          <w:i/>
          <w:iCs/>
          <w:sz w:val="22"/>
          <w:szCs w:val="22"/>
          <w:lang w:val="es-ES" w:eastAsia="es-ES"/>
        </w:rPr>
        <w:t>acaecidas entre quienes contaban con contratos de explotación del servicio. Transcurrido ese plazo, las que no se hayan gestionado se archivarán en forma definitiva con la consiguiente cancelación de la concesión administrativa correspondiente." (El Resaltado es nuestro)</w:t>
      </w:r>
    </w:p>
    <w:p w:rsidR="001F0ACE" w:rsidRDefault="00DE6731">
      <w:pPr>
        <w:kinsoku w:val="0"/>
        <w:overflowPunct w:val="0"/>
        <w:autoSpaceDE/>
        <w:autoSpaceDN/>
        <w:adjustRightInd/>
        <w:spacing w:before="341" w:line="257" w:lineRule="exact"/>
        <w:ind w:left="144" w:right="144"/>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 xml:space="preserve">El mandato de la Ley es claro, al indicar que el Consejo está autorizado para que durante los noventa días siguientes a la publicación de la </w:t>
      </w:r>
      <w:r>
        <w:rPr>
          <w:rFonts w:ascii="Tahoma" w:hAnsi="Tahoma" w:cs="Tahoma"/>
          <w:b/>
          <w:bCs/>
          <w:spacing w:val="8"/>
          <w:sz w:val="22"/>
          <w:szCs w:val="22"/>
          <w:lang w:val="es-ES" w:eastAsia="es-ES"/>
        </w:rPr>
        <w:t xml:space="preserve">Ley 9027 </w:t>
      </w:r>
      <w:r>
        <w:rPr>
          <w:rFonts w:ascii="Tahoma" w:hAnsi="Tahoma" w:cs="Tahoma"/>
          <w:spacing w:val="8"/>
          <w:sz w:val="22"/>
          <w:szCs w:val="22"/>
          <w:lang w:val="es-ES" w:eastAsia="es-ES"/>
        </w:rPr>
        <w:t xml:space="preserve">conozca las solicitudes de traspaso que se le presenten y las resuelva </w:t>
      </w:r>
      <w:r>
        <w:rPr>
          <w:rFonts w:ascii="Tahoma" w:hAnsi="Tahoma" w:cs="Tahoma"/>
          <w:b/>
          <w:bCs/>
          <w:spacing w:val="8"/>
          <w:sz w:val="22"/>
          <w:szCs w:val="22"/>
          <w:u w:val="single"/>
          <w:lang w:val="es-ES" w:eastAsia="es-ES"/>
        </w:rPr>
        <w:t xml:space="preserve">FAVORABLEMENTE,  </w:t>
      </w:r>
      <w:r>
        <w:rPr>
          <w:rFonts w:ascii="Tahoma" w:hAnsi="Tahoma" w:cs="Tahoma"/>
          <w:spacing w:val="8"/>
          <w:sz w:val="22"/>
          <w:szCs w:val="22"/>
          <w:lang w:val="es-ES" w:eastAsia="es-ES"/>
        </w:rPr>
        <w:t xml:space="preserve">por lo que aquellas concesiones cuyos titulares hubiesen muerto antes de la entrada en vigencia de la Ley de trato y la solicitud se presentara antes de la conclusión del plazo otorgado, podían ser traspasadas, sin atender a lo estipulado en el numeral 42.bis de la Ley 7969, no así las que se presentaran fuera del plazo dado en el transitorio. No </w:t>
      </w:r>
      <w:proofErr w:type="spellStart"/>
      <w:r>
        <w:rPr>
          <w:rFonts w:ascii="Tahoma" w:hAnsi="Tahoma" w:cs="Tahoma"/>
          <w:spacing w:val="8"/>
          <w:sz w:val="22"/>
          <w:szCs w:val="22"/>
          <w:lang w:val="es-ES" w:eastAsia="es-ES"/>
        </w:rPr>
        <w:t>obstane</w:t>
      </w:r>
      <w:proofErr w:type="spellEnd"/>
      <w:r>
        <w:rPr>
          <w:rFonts w:ascii="Tahoma" w:hAnsi="Tahoma" w:cs="Tahoma"/>
          <w:spacing w:val="8"/>
          <w:sz w:val="22"/>
          <w:szCs w:val="22"/>
          <w:lang w:val="es-ES" w:eastAsia="es-ES"/>
        </w:rPr>
        <w:t xml:space="preserve">, lo anterior, como se verifica en la especie la recurrente presentó dicha solicitud de traspaso Mortis Causa hasta el </w:t>
      </w:r>
      <w:r>
        <w:rPr>
          <w:rFonts w:ascii="Tahoma" w:hAnsi="Tahoma" w:cs="Tahoma"/>
          <w:b/>
          <w:bCs/>
          <w:spacing w:val="8"/>
          <w:sz w:val="22"/>
          <w:szCs w:val="22"/>
          <w:lang w:val="es-ES" w:eastAsia="es-ES"/>
        </w:rPr>
        <w:t xml:space="preserve">30 de julio de 2012, </w:t>
      </w:r>
      <w:r>
        <w:rPr>
          <w:rFonts w:ascii="Tahoma" w:hAnsi="Tahoma" w:cs="Tahoma"/>
          <w:spacing w:val="8"/>
          <w:sz w:val="22"/>
          <w:szCs w:val="22"/>
          <w:lang w:val="es-ES" w:eastAsia="es-ES"/>
        </w:rPr>
        <w:t>por lo que en acto a lo determinado por la ley no era procedente dicho trámite, pues le caduco él plazo otorgado por dicha ley.</w:t>
      </w:r>
    </w:p>
    <w:p w:rsidR="001F0ACE" w:rsidRDefault="00DE6731">
      <w:pPr>
        <w:kinsoku w:val="0"/>
        <w:overflowPunct w:val="0"/>
        <w:autoSpaceDE/>
        <w:autoSpaceDN/>
        <w:adjustRightInd/>
        <w:spacing w:before="240" w:line="257" w:lineRule="exact"/>
        <w:ind w:left="144" w:right="144"/>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Debe recordarse que de conformidad con el numeral 256 de la Ley General de la Administración Pública los días para el administrado son hábiles y para la Administración Naturales.</w:t>
      </w:r>
    </w:p>
    <w:p w:rsidR="001F0ACE" w:rsidRDefault="00DE6731">
      <w:pPr>
        <w:kinsoku w:val="0"/>
        <w:overflowPunct w:val="0"/>
        <w:autoSpaceDE/>
        <w:autoSpaceDN/>
        <w:adjustRightInd/>
        <w:spacing w:before="511" w:line="258" w:lineRule="exact"/>
        <w:ind w:left="576"/>
        <w:textAlignment w:val="baseline"/>
        <w:rPr>
          <w:rFonts w:ascii="Verdana" w:hAnsi="Verdana" w:cs="Verdana"/>
          <w:sz w:val="24"/>
          <w:szCs w:val="24"/>
          <w:lang w:eastAsia="en-US"/>
        </w:rPr>
      </w:pPr>
      <w:r>
        <w:rPr>
          <w:rFonts w:ascii="Tahoma" w:hAnsi="Tahoma" w:cs="Tahoma"/>
          <w:i/>
          <w:iCs/>
          <w:spacing w:val="7"/>
          <w:sz w:val="22"/>
          <w:szCs w:val="22"/>
          <w:lang w:val="es-ES" w:eastAsia="es-ES"/>
        </w:rPr>
        <w:t xml:space="preserve">"Artículo </w:t>
      </w:r>
      <w:proofErr w:type="gramStart"/>
      <w:r>
        <w:rPr>
          <w:rFonts w:ascii="Tahoma" w:hAnsi="Tahoma" w:cs="Tahoma"/>
          <w:i/>
          <w:iCs/>
          <w:spacing w:val="7"/>
          <w:sz w:val="22"/>
          <w:szCs w:val="22"/>
          <w:lang w:val="es-ES" w:eastAsia="es-ES"/>
        </w:rPr>
        <w:t>256.</w:t>
      </w:r>
      <w:r>
        <w:rPr>
          <w:rFonts w:ascii="Tahoma" w:hAnsi="Tahoma" w:cs="Tahoma"/>
          <w:i/>
          <w:iCs/>
          <w:spacing w:val="7"/>
          <w:sz w:val="22"/>
          <w:szCs w:val="22"/>
          <w:lang w:val="es-ES" w:eastAsia="es-ES"/>
        </w:rPr>
        <w:noBreakHyphen/>
      </w:r>
      <w:proofErr w:type="gramEnd"/>
    </w:p>
    <w:p w:rsidR="001F0ACE" w:rsidRDefault="00DE6731">
      <w:pPr>
        <w:numPr>
          <w:ilvl w:val="0"/>
          <w:numId w:val="1"/>
        </w:numPr>
        <w:kinsoku w:val="0"/>
        <w:overflowPunct w:val="0"/>
        <w:autoSpaceDE/>
        <w:autoSpaceDN/>
        <w:adjustRightInd/>
        <w:spacing w:before="295" w:line="258" w:lineRule="exact"/>
        <w:textAlignment w:val="baseline"/>
        <w:rPr>
          <w:rFonts w:ascii="Tahoma" w:hAnsi="Tahoma" w:cs="Tahoma"/>
          <w:i/>
          <w:iCs/>
          <w:spacing w:val="10"/>
          <w:sz w:val="22"/>
          <w:szCs w:val="22"/>
          <w:lang w:val="es-ES" w:eastAsia="es-ES"/>
        </w:rPr>
      </w:pPr>
      <w:r>
        <w:rPr>
          <w:rFonts w:ascii="Tahoma" w:hAnsi="Tahoma" w:cs="Tahoma"/>
          <w:i/>
          <w:iCs/>
          <w:spacing w:val="10"/>
          <w:sz w:val="22"/>
          <w:szCs w:val="22"/>
          <w:lang w:val="es-ES" w:eastAsia="es-ES"/>
        </w:rPr>
        <w:t>Los plazos por días, para la Administración incluyen los inhábiles.</w:t>
      </w:r>
    </w:p>
    <w:p w:rsidR="001F0ACE" w:rsidRDefault="006737AC" w:rsidP="006737AC">
      <w:pPr>
        <w:numPr>
          <w:ilvl w:val="0"/>
          <w:numId w:val="2"/>
        </w:numPr>
        <w:kinsoku w:val="0"/>
        <w:overflowPunct w:val="0"/>
        <w:autoSpaceDE/>
        <w:autoSpaceDN/>
        <w:adjustRightInd/>
        <w:spacing w:before="17" w:line="245" w:lineRule="exact"/>
        <w:ind w:right="1296"/>
        <w:jc w:val="both"/>
        <w:textAlignment w:val="baseline"/>
        <w:rPr>
          <w:rFonts w:ascii="Verdana" w:hAnsi="Verdana" w:cs="Verdana"/>
          <w:b/>
          <w:bCs/>
          <w:i/>
          <w:iCs/>
          <w:sz w:val="21"/>
          <w:szCs w:val="21"/>
          <w:u w:val="single"/>
          <w:lang w:val="es-ES" w:eastAsia="es-ES"/>
        </w:rPr>
      </w:pPr>
      <w:r>
        <w:rPr>
          <w:rFonts w:ascii="Verdana" w:hAnsi="Verdana" w:cs="Verdana"/>
          <w:b/>
          <w:bCs/>
          <w:i/>
          <w:iCs/>
          <w:sz w:val="21"/>
          <w:szCs w:val="21"/>
          <w:u w:val="single"/>
          <w:lang w:val="es-ES" w:eastAsia="es-ES"/>
        </w:rPr>
        <w:t>Los q</w:t>
      </w:r>
      <w:r w:rsidR="00DE6731">
        <w:rPr>
          <w:rFonts w:ascii="Verdana" w:hAnsi="Verdana" w:cs="Verdana"/>
          <w:b/>
          <w:bCs/>
          <w:i/>
          <w:iCs/>
          <w:sz w:val="21"/>
          <w:szCs w:val="21"/>
          <w:u w:val="single"/>
          <w:lang w:val="es-ES" w:eastAsia="es-ES"/>
        </w:rPr>
        <w:t xml:space="preserve">ue son para los </w:t>
      </w:r>
      <w:r>
        <w:rPr>
          <w:rFonts w:ascii="Verdana" w:hAnsi="Verdana" w:cs="Verdana"/>
          <w:b/>
          <w:bCs/>
          <w:i/>
          <w:iCs/>
          <w:sz w:val="21"/>
          <w:szCs w:val="21"/>
          <w:u w:val="single"/>
          <w:lang w:val="es-ES" w:eastAsia="es-ES"/>
        </w:rPr>
        <w:t>p</w:t>
      </w:r>
      <w:r w:rsidR="00DE6731">
        <w:rPr>
          <w:rFonts w:ascii="Verdana" w:hAnsi="Verdana" w:cs="Verdana"/>
          <w:b/>
          <w:bCs/>
          <w:i/>
          <w:iCs/>
          <w:sz w:val="21"/>
          <w:szCs w:val="21"/>
          <w:u w:val="single"/>
          <w:lang w:val="es-ES" w:eastAsia="es-ES"/>
        </w:rPr>
        <w:t>art</w:t>
      </w:r>
      <w:r>
        <w:rPr>
          <w:rFonts w:ascii="Verdana" w:hAnsi="Verdana" w:cs="Verdana"/>
          <w:b/>
          <w:bCs/>
          <w:i/>
          <w:iCs/>
          <w:sz w:val="21"/>
          <w:szCs w:val="21"/>
          <w:u w:val="single"/>
          <w:lang w:val="es-ES" w:eastAsia="es-ES"/>
        </w:rPr>
        <w:t>ic</w:t>
      </w:r>
      <w:r w:rsidR="00DE6731">
        <w:rPr>
          <w:rFonts w:ascii="Verdana" w:hAnsi="Verdana" w:cs="Verdana"/>
          <w:b/>
          <w:bCs/>
          <w:i/>
          <w:iCs/>
          <w:sz w:val="21"/>
          <w:szCs w:val="21"/>
          <w:u w:val="single"/>
          <w:lang w:val="es-ES" w:eastAsia="es-ES"/>
        </w:rPr>
        <w:t>ulares serán siempre de días hábiles.</w:t>
      </w:r>
    </w:p>
    <w:p w:rsidR="001F0ACE" w:rsidRDefault="00DE6731">
      <w:pPr>
        <w:numPr>
          <w:ilvl w:val="0"/>
          <w:numId w:val="1"/>
        </w:numPr>
        <w:kinsoku w:val="0"/>
        <w:overflowPunct w:val="0"/>
        <w:autoSpaceDE/>
        <w:autoSpaceDN/>
        <w:adjustRightInd/>
        <w:spacing w:before="41" w:line="254" w:lineRule="exact"/>
        <w:ind w:right="864"/>
        <w:textAlignment w:val="baseline"/>
        <w:rPr>
          <w:rFonts w:ascii="Tahoma" w:hAnsi="Tahoma" w:cs="Tahoma"/>
          <w:i/>
          <w:iCs/>
          <w:spacing w:val="10"/>
          <w:sz w:val="22"/>
          <w:szCs w:val="22"/>
          <w:lang w:val="es-ES" w:eastAsia="es-ES"/>
        </w:rPr>
      </w:pPr>
      <w:r>
        <w:rPr>
          <w:rFonts w:ascii="Tahoma" w:hAnsi="Tahoma" w:cs="Tahoma"/>
          <w:i/>
          <w:iCs/>
          <w:spacing w:val="10"/>
          <w:sz w:val="22"/>
          <w:szCs w:val="22"/>
          <w:lang w:val="es-ES" w:eastAsia="es-ES"/>
        </w:rPr>
        <w:t>Los plazos empezarán a partir del día siguiente a la última comunicación de los mismos o del acto impugnable, caso de recurso.</w:t>
      </w:r>
    </w:p>
    <w:p w:rsidR="001F0ACE" w:rsidRDefault="00DE6731">
      <w:pPr>
        <w:numPr>
          <w:ilvl w:val="0"/>
          <w:numId w:val="1"/>
        </w:numPr>
        <w:kinsoku w:val="0"/>
        <w:overflowPunct w:val="0"/>
        <w:autoSpaceDE/>
        <w:autoSpaceDN/>
        <w:adjustRightInd/>
        <w:spacing w:line="248" w:lineRule="exact"/>
        <w:ind w:right="576"/>
        <w:textAlignment w:val="baseline"/>
        <w:rPr>
          <w:rFonts w:ascii="Tahoma" w:hAnsi="Tahoma" w:cs="Tahoma"/>
          <w:i/>
          <w:iCs/>
          <w:spacing w:val="9"/>
          <w:sz w:val="22"/>
          <w:szCs w:val="22"/>
          <w:lang w:val="es-ES" w:eastAsia="es-ES"/>
        </w:rPr>
      </w:pPr>
      <w:r>
        <w:rPr>
          <w:rFonts w:ascii="Tahoma" w:hAnsi="Tahoma" w:cs="Tahoma"/>
          <w:i/>
          <w:iCs/>
          <w:spacing w:val="9"/>
          <w:sz w:val="22"/>
          <w:szCs w:val="22"/>
          <w:lang w:val="es-ES" w:eastAsia="es-ES"/>
        </w:rPr>
        <w:t>En el caso de publicaciones esa fecha inicial será la de la última publicación, excepto que el acto indique otra posterior" (el Resaltado es nuestro).</w:t>
      </w:r>
    </w:p>
    <w:p w:rsidR="001F0ACE" w:rsidRDefault="00DE6731">
      <w:pPr>
        <w:kinsoku w:val="0"/>
        <w:overflowPunct w:val="0"/>
        <w:autoSpaceDE/>
        <w:autoSpaceDN/>
        <w:adjustRightInd/>
        <w:spacing w:before="541" w:line="257" w:lineRule="exact"/>
        <w:ind w:left="144" w:right="144"/>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Por lo indicado el plazo para presentar solicitud</w:t>
      </w:r>
      <w:r w:rsidR="006737AC">
        <w:rPr>
          <w:rFonts w:ascii="Tahoma" w:hAnsi="Tahoma" w:cs="Tahoma"/>
          <w:spacing w:val="8"/>
          <w:sz w:val="22"/>
          <w:szCs w:val="22"/>
          <w:lang w:val="es-ES" w:eastAsia="es-ES"/>
        </w:rPr>
        <w:t xml:space="preserve"> </w:t>
      </w:r>
      <w:r>
        <w:rPr>
          <w:rFonts w:ascii="Tahoma" w:hAnsi="Tahoma" w:cs="Tahoma"/>
          <w:spacing w:val="8"/>
          <w:sz w:val="22"/>
          <w:szCs w:val="22"/>
          <w:lang w:val="es-ES" w:eastAsia="es-ES"/>
        </w:rPr>
        <w:t xml:space="preserve">el de traspaso mortis causa de aquellos concesionarios fallecidos con anterioridad a la entrada en vigencia de la Ley 9027 publicada el 28 de febrero de 2012, </w:t>
      </w:r>
      <w:r>
        <w:rPr>
          <w:rFonts w:ascii="Tahoma" w:hAnsi="Tahoma" w:cs="Tahoma"/>
          <w:b/>
          <w:bCs/>
          <w:spacing w:val="8"/>
          <w:sz w:val="22"/>
          <w:szCs w:val="22"/>
          <w:u w:val="single"/>
          <w:lang w:val="es-ES" w:eastAsia="es-ES"/>
        </w:rPr>
        <w:t xml:space="preserve">fenecía el 12 de Tulio de 2012, </w:t>
      </w:r>
      <w:r>
        <w:rPr>
          <w:rFonts w:ascii="Tahoma" w:hAnsi="Tahoma" w:cs="Tahoma"/>
          <w:spacing w:val="8"/>
          <w:sz w:val="22"/>
          <w:szCs w:val="22"/>
          <w:lang w:val="es-ES" w:eastAsia="es-ES"/>
        </w:rPr>
        <w:t>fecha en la que se cumplían los noventa días.</w:t>
      </w:r>
    </w:p>
    <w:p w:rsidR="001F0ACE" w:rsidRDefault="00DE6731">
      <w:pPr>
        <w:kinsoku w:val="0"/>
        <w:overflowPunct w:val="0"/>
        <w:autoSpaceDE/>
        <w:autoSpaceDN/>
        <w:adjustRightInd/>
        <w:spacing w:before="273" w:after="624" w:line="257" w:lineRule="exact"/>
        <w:ind w:left="144" w:right="144"/>
        <w:jc w:val="both"/>
        <w:textAlignment w:val="baseline"/>
        <w:rPr>
          <w:rFonts w:ascii="Tahoma" w:hAnsi="Tahoma" w:cs="Tahoma"/>
          <w:spacing w:val="13"/>
          <w:sz w:val="22"/>
          <w:szCs w:val="22"/>
          <w:lang w:val="es-ES" w:eastAsia="es-ES"/>
        </w:rPr>
      </w:pPr>
      <w:r>
        <w:rPr>
          <w:rFonts w:ascii="Tahoma" w:hAnsi="Tahoma" w:cs="Tahoma"/>
          <w:spacing w:val="13"/>
          <w:sz w:val="22"/>
          <w:szCs w:val="22"/>
          <w:lang w:val="es-ES" w:eastAsia="es-ES"/>
        </w:rPr>
        <w:t xml:space="preserve">Al no presentarse la solicitud de traspaso Mortis Causa dentro del plazo del Transitorio de la </w:t>
      </w:r>
      <w:r>
        <w:rPr>
          <w:rFonts w:ascii="Tahoma" w:hAnsi="Tahoma" w:cs="Tahoma"/>
          <w:b/>
          <w:bCs/>
          <w:spacing w:val="13"/>
          <w:sz w:val="22"/>
          <w:szCs w:val="22"/>
          <w:lang w:val="es-ES" w:eastAsia="es-ES"/>
        </w:rPr>
        <w:t xml:space="preserve">Ley 9027, </w:t>
      </w:r>
      <w:r>
        <w:rPr>
          <w:rFonts w:ascii="Tahoma" w:hAnsi="Tahoma" w:cs="Tahoma"/>
          <w:spacing w:val="13"/>
          <w:sz w:val="22"/>
          <w:szCs w:val="22"/>
          <w:lang w:val="es-ES" w:eastAsia="es-ES"/>
        </w:rPr>
        <w:t>se queda a expensas de lo determinado en dicho</w:t>
      </w:r>
    </w:p>
    <w:p w:rsidR="001F0ACE" w:rsidRDefault="001F0ACE">
      <w:pPr>
        <w:widowControl/>
        <w:rPr>
          <w:sz w:val="24"/>
          <w:szCs w:val="24"/>
        </w:rPr>
        <w:sectPr w:rsidR="001F0ACE">
          <w:pgSz w:w="12134" w:h="15840"/>
          <w:pgMar w:top="854" w:right="1851" w:bottom="100" w:left="1421" w:header="720" w:footer="720" w:gutter="0"/>
          <w:cols w:space="720"/>
          <w:noEndnote/>
        </w:sectPr>
      </w:pPr>
    </w:p>
    <w:p w:rsidR="001F0ACE" w:rsidRDefault="00DE6731">
      <w:pPr>
        <w:tabs>
          <w:tab w:val="right" w:pos="3168"/>
        </w:tabs>
        <w:kinsoku w:val="0"/>
        <w:overflowPunct w:val="0"/>
        <w:autoSpaceDE/>
        <w:autoSpaceDN/>
        <w:adjustRightInd/>
        <w:spacing w:line="243" w:lineRule="exact"/>
        <w:textAlignment w:val="baseline"/>
        <w:rPr>
          <w:sz w:val="21"/>
          <w:szCs w:val="21"/>
          <w:lang w:val="es-ES" w:eastAsia="es-ES"/>
        </w:rPr>
      </w:pPr>
      <w:r>
        <w:rPr>
          <w:sz w:val="21"/>
          <w:szCs w:val="21"/>
          <w:lang w:val="es-ES" w:eastAsia="es-ES"/>
        </w:rPr>
        <w:tab/>
      </w:r>
    </w:p>
    <w:p w:rsidR="001F0ACE" w:rsidRDefault="001F0ACE">
      <w:pPr>
        <w:widowControl/>
        <w:rPr>
          <w:sz w:val="24"/>
          <w:szCs w:val="24"/>
        </w:rPr>
        <w:sectPr w:rsidR="001F0ACE">
          <w:type w:val="continuous"/>
          <w:pgSz w:w="12134" w:h="15840"/>
          <w:pgMar w:top="854" w:right="1936" w:bottom="100" w:left="6958" w:header="720" w:footer="720" w:gutter="0"/>
          <w:cols w:space="720"/>
          <w:noEndnote/>
        </w:sectPr>
      </w:pPr>
    </w:p>
    <w:p w:rsidR="001F0ACE" w:rsidRDefault="00DE6731">
      <w:pPr>
        <w:kinsoku w:val="0"/>
        <w:overflowPunct w:val="0"/>
        <w:autoSpaceDE/>
        <w:autoSpaceDN/>
        <w:adjustRightInd/>
        <w:spacing w:line="262" w:lineRule="exact"/>
        <w:ind w:left="72"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cuerpo normativo en cuanto a la creación del numeral 42 bis que se adiciona a la Ley 7969, y por lo tanto al no existir designación de un beneficiario propietario y suplente por haber muerto el concesionario con anterioridad a la Ley la concesión debe caducarse.</w:t>
      </w:r>
    </w:p>
    <w:p w:rsidR="001F0ACE" w:rsidRDefault="00DE6731">
      <w:pPr>
        <w:kinsoku w:val="0"/>
        <w:overflowPunct w:val="0"/>
        <w:autoSpaceDE/>
        <w:autoSpaceDN/>
        <w:adjustRightInd/>
        <w:spacing w:before="268" w:line="263" w:lineRule="exact"/>
        <w:ind w:left="72"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Lo anterior conlleva entonces una consecuencia gravosa para la recurrente, cual es el hecho de que la pone en una condición de Falta de Legitimación, para accionar en este asunto, pues no ostenta, ni un derecho subjetivo ni un interés legítimo y por lo tanto no cuenta con la capacidad procesal para recurrir, pues no tiene posibilidad alguna de lograr con la anulación del acto impugnado el traspaso mortis cusa que pretende y el CTP actúo conforme al principio de Legalidad, pues la solicitud se presentó con posterioridad al vencimiento del plazo dado por la L</w:t>
      </w:r>
      <w:r w:rsidR="006737AC">
        <w:rPr>
          <w:rFonts w:ascii="Verdana" w:hAnsi="Verdana" w:cs="Verdana"/>
          <w:sz w:val="21"/>
          <w:szCs w:val="21"/>
          <w:lang w:val="es-ES" w:eastAsia="es-ES"/>
        </w:rPr>
        <w:t>e</w:t>
      </w:r>
      <w:r>
        <w:rPr>
          <w:rFonts w:ascii="Verdana" w:hAnsi="Verdana" w:cs="Verdana"/>
          <w:sz w:val="21"/>
          <w:szCs w:val="21"/>
          <w:lang w:val="es-ES" w:eastAsia="es-ES"/>
        </w:rPr>
        <w:t>y</w:t>
      </w:r>
      <w:r w:rsidR="006737AC">
        <w:rPr>
          <w:rFonts w:ascii="Verdana" w:hAnsi="Verdana" w:cs="Verdana"/>
          <w:sz w:val="21"/>
          <w:szCs w:val="21"/>
          <w:lang w:val="es-ES" w:eastAsia="es-ES"/>
        </w:rPr>
        <w:t xml:space="preserve"> </w:t>
      </w:r>
      <w:r>
        <w:rPr>
          <w:rFonts w:ascii="Verdana" w:hAnsi="Verdana" w:cs="Verdana"/>
          <w:sz w:val="21"/>
          <w:szCs w:val="21"/>
          <w:lang w:val="es-ES" w:eastAsia="es-ES"/>
        </w:rPr>
        <w:t>9027 en su Transitorio.</w:t>
      </w:r>
    </w:p>
    <w:p w:rsidR="001F0ACE" w:rsidRDefault="00DE6731">
      <w:pPr>
        <w:kinsoku w:val="0"/>
        <w:overflowPunct w:val="0"/>
        <w:autoSpaceDE/>
        <w:autoSpaceDN/>
        <w:adjustRightInd/>
        <w:spacing w:before="266" w:line="260" w:lineRule="exact"/>
        <w:ind w:left="72"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Es requisito indispensable, para poder accionar en cualquier procedimiento jurídico y a esto no escapa la interposición de las acciones recursivas, contar con la debida Legitimación para ello.</w:t>
      </w:r>
    </w:p>
    <w:p w:rsidR="001F0ACE" w:rsidRDefault="00DE6731">
      <w:pPr>
        <w:kinsoku w:val="0"/>
        <w:overflowPunct w:val="0"/>
        <w:autoSpaceDE/>
        <w:autoSpaceDN/>
        <w:adjustRightInd/>
        <w:spacing w:before="262" w:line="263" w:lineRule="exact"/>
        <w:ind w:left="72"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El artículo 275 de la Ley General de la Administración Pública, en cuanto a la Legitimación indica:</w:t>
      </w:r>
    </w:p>
    <w:p w:rsidR="001F0ACE" w:rsidRDefault="00DE6731">
      <w:pPr>
        <w:kinsoku w:val="0"/>
        <w:overflowPunct w:val="0"/>
        <w:autoSpaceDE/>
        <w:autoSpaceDN/>
        <w:adjustRightInd/>
        <w:spacing w:before="529" w:line="260" w:lineRule="exact"/>
        <w:ind w:left="432" w:right="432"/>
        <w:jc w:val="both"/>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p>
    <w:p w:rsidR="001F0ACE" w:rsidRDefault="00DE6731">
      <w:pPr>
        <w:kinsoku w:val="0"/>
        <w:overflowPunct w:val="0"/>
        <w:autoSpaceDE/>
        <w:autoSpaceDN/>
        <w:adjustRightInd/>
        <w:spacing w:before="237" w:line="306" w:lineRule="exact"/>
        <w:ind w:left="72"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La Sala Primera de la Corte Suprema de Justicia en su sentencia de fecha 04 de julio de 2013 de las 09:20:00 horas indico respecto de la Legitimación lo siguiente:</w:t>
      </w:r>
    </w:p>
    <w:p w:rsidR="001F0ACE" w:rsidRDefault="00DE6731">
      <w:pPr>
        <w:kinsoku w:val="0"/>
        <w:overflowPunct w:val="0"/>
        <w:autoSpaceDE/>
        <w:autoSpaceDN/>
        <w:adjustRightInd/>
        <w:spacing w:before="565" w:after="485" w:line="260" w:lineRule="exact"/>
        <w:ind w:left="432" w:right="432"/>
        <w:jc w:val="both"/>
        <w:textAlignment w:val="baseline"/>
        <w:rPr>
          <w:rFonts w:ascii="Verdana" w:hAnsi="Verdana" w:cs="Verdana"/>
          <w:i/>
          <w:iCs/>
          <w:spacing w:val="3"/>
          <w:sz w:val="21"/>
          <w:szCs w:val="21"/>
          <w:lang w:val="es-ES" w:eastAsia="es-ES"/>
        </w:rPr>
      </w:pPr>
      <w:r>
        <w:rPr>
          <w:rFonts w:ascii="Verdana" w:hAnsi="Verdana" w:cs="Verdana"/>
          <w:i/>
          <w:iCs/>
          <w:spacing w:val="3"/>
          <w:sz w:val="21"/>
          <w:szCs w:val="21"/>
          <w:lang w:val="es-ES" w:eastAsia="es-ES"/>
        </w:rPr>
        <w:t>"La legitimación constituye un presupuesto de la pretensión formulada en la demanda y de la oposición hecha por el demandado, para hacer posible la sentencia de 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discute en el proceso. La legitimación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w:t>
      </w:r>
    </w:p>
    <w:p w:rsidR="001F0ACE" w:rsidRDefault="001F0ACE">
      <w:pPr>
        <w:widowControl/>
        <w:rPr>
          <w:sz w:val="24"/>
          <w:szCs w:val="24"/>
        </w:rPr>
        <w:sectPr w:rsidR="001F0ACE">
          <w:pgSz w:w="12134" w:h="15840"/>
          <w:pgMar w:top="2220" w:right="1574" w:bottom="40" w:left="1698" w:header="720" w:footer="720" w:gutter="0"/>
          <w:cols w:space="720"/>
          <w:noEndnote/>
        </w:sectPr>
      </w:pPr>
    </w:p>
    <w:p w:rsidR="001F0ACE" w:rsidRDefault="00DE6731">
      <w:pPr>
        <w:tabs>
          <w:tab w:val="right" w:pos="3168"/>
        </w:tabs>
        <w:kinsoku w:val="0"/>
        <w:overflowPunct w:val="0"/>
        <w:autoSpaceDE/>
        <w:autoSpaceDN/>
        <w:adjustRightInd/>
        <w:spacing w:line="235" w:lineRule="exact"/>
        <w:textAlignment w:val="baseline"/>
        <w:rPr>
          <w:rFonts w:ascii="Verdana" w:hAnsi="Verdana" w:cs="Verdana"/>
          <w:i/>
          <w:iCs/>
          <w:sz w:val="21"/>
          <w:szCs w:val="21"/>
          <w:lang w:val="es-ES" w:eastAsia="es-ES"/>
        </w:rPr>
      </w:pPr>
      <w:r>
        <w:rPr>
          <w:sz w:val="19"/>
          <w:szCs w:val="19"/>
          <w:lang w:val="es-ES" w:eastAsia="es-ES"/>
        </w:rPr>
        <w:tab/>
      </w:r>
    </w:p>
    <w:p w:rsidR="001F0ACE" w:rsidRDefault="001F0ACE">
      <w:pPr>
        <w:widowControl/>
        <w:rPr>
          <w:sz w:val="24"/>
          <w:szCs w:val="24"/>
        </w:rPr>
        <w:sectPr w:rsidR="001F0ACE">
          <w:type w:val="continuous"/>
          <w:pgSz w:w="12134" w:h="15840"/>
          <w:pgMar w:top="2220" w:right="1574" w:bottom="40" w:left="7320" w:header="720" w:footer="720" w:gutter="0"/>
          <w:cols w:space="720"/>
          <w:noEndnote/>
        </w:sectPr>
      </w:pPr>
    </w:p>
    <w:p w:rsidR="001F0ACE" w:rsidRDefault="00DE6731">
      <w:pPr>
        <w:kinsoku w:val="0"/>
        <w:overflowPunct w:val="0"/>
        <w:autoSpaceDE/>
        <w:autoSpaceDN/>
        <w:adjustRightInd/>
        <w:spacing w:before="28" w:line="261" w:lineRule="exact"/>
        <w:ind w:left="432" w:right="504"/>
        <w:jc w:val="both"/>
        <w:textAlignment w:val="baseline"/>
        <w:rPr>
          <w:rFonts w:ascii="Verdana" w:hAnsi="Verdana" w:cs="Verdana"/>
          <w:i/>
          <w:iCs/>
          <w:spacing w:val="-6"/>
          <w:sz w:val="22"/>
          <w:szCs w:val="22"/>
          <w:lang w:val="es-ES" w:eastAsia="es-ES"/>
        </w:rPr>
      </w:pPr>
      <w:r>
        <w:rPr>
          <w:rFonts w:ascii="Verdana" w:hAnsi="Verdana" w:cs="Verdana"/>
          <w:i/>
          <w:iCs/>
          <w:spacing w:val="-6"/>
          <w:sz w:val="22"/>
          <w:szCs w:val="22"/>
          <w:lang w:val="es-ES" w:eastAsia="es-ES"/>
        </w:rPr>
        <w:lastRenderedPageBreak/>
        <w:t xml:space="preserve">corresponda a otro. Lo anterior significa que Ino se precisa ser titular o sujeto activo o pasivo del derecho o relación jurídica material, sino del interés para que se decida si en efecto existe, esto es se trata de una legitimación para obtener sentencia de fondo o mérito. De acuerdo al sujeto legitimado o a su posición en la relación procesal se puede distinguir entre legitimación activa y pasiva, la primera le corresponde al actor y a las personas que con posterioridad Intervengan para defender su causa, la segunda le pertenece al demandado y a quienes intervengan para discutir y oponerse a la pretensión del actor. La ausencia de legitimación en la causa constituye un impedimento sustancial, si el juzgador se percata de la falta de la misma, así debe declararlo de oficio y dictar una sentencia inhibitoria, lo que no es óbice para que sea alegada oportunamente como excepción previa... ...La legitimación en la causa demás de determinar </w:t>
      </w:r>
      <w:proofErr w:type="spellStart"/>
      <w:r>
        <w:rPr>
          <w:rFonts w:ascii="Verdana" w:hAnsi="Verdana" w:cs="Verdana"/>
          <w:i/>
          <w:iCs/>
          <w:spacing w:val="-6"/>
          <w:sz w:val="22"/>
          <w:szCs w:val="22"/>
          <w:lang w:val="es-ES" w:eastAsia="es-ES"/>
        </w:rPr>
        <w:t>quienes</w:t>
      </w:r>
      <w:proofErr w:type="spellEnd"/>
      <w:r>
        <w:rPr>
          <w:rFonts w:ascii="Verdana" w:hAnsi="Verdana" w:cs="Verdana"/>
          <w:i/>
          <w:iCs/>
          <w:spacing w:val="-6"/>
          <w:sz w:val="22"/>
          <w:szCs w:val="22"/>
          <w:lang w:val="es-ES" w:eastAsia="es-ES"/>
        </w:rPr>
        <w:t xml:space="preserve"> pueden actuar en el proceso con derecho a obtener sentencia de fondo, señala o determina a quiénes deben estar presentes para hacer posible la sentencia de fondo...". (Resolución de las 15 horas 10 minutos del 24 de septiembre </w:t>
      </w:r>
      <w:proofErr w:type="spellStart"/>
      <w:r>
        <w:rPr>
          <w:rFonts w:ascii="Verdana" w:hAnsi="Verdana" w:cs="Verdana"/>
          <w:i/>
          <w:iCs/>
          <w:spacing w:val="-6"/>
          <w:sz w:val="22"/>
          <w:szCs w:val="22"/>
          <w:lang w:val="es-ES" w:eastAsia="es-ES"/>
        </w:rPr>
        <w:t>dé</w:t>
      </w:r>
      <w:proofErr w:type="spellEnd"/>
      <w:r>
        <w:rPr>
          <w:rFonts w:ascii="Verdana" w:hAnsi="Verdana" w:cs="Verdana"/>
          <w:i/>
          <w:iCs/>
          <w:spacing w:val="-6"/>
          <w:sz w:val="22"/>
          <w:szCs w:val="22"/>
          <w:lang w:val="es-ES" w:eastAsia="es-ES"/>
        </w:rPr>
        <w:t xml:space="preserve"> 1997, correspondiente al voto número 83). Entonces, según se ha visto, se debe entender la legitimación como un presupuesto de fondo necesario para la procedencia de la pretensión material, es decir, será parte legítima quien alega tener una determinada relación jurídica con la petitoria debatida. Ahora bien, según se ha visto, el vínculo entre la legitimación y el interés actual es estrecho, siendo ambos presupuestos de fondo, los cuales deben ser revisados por los juzgadores en todo momento con el fin de verificar que pueda haber un pronunciamiento válid</w:t>
      </w:r>
      <w:r w:rsidR="006737AC">
        <w:rPr>
          <w:rFonts w:ascii="Verdana" w:hAnsi="Verdana" w:cs="Verdana"/>
          <w:i/>
          <w:iCs/>
          <w:spacing w:val="-6"/>
          <w:sz w:val="22"/>
          <w:szCs w:val="22"/>
          <w:lang w:val="es-ES" w:eastAsia="es-ES"/>
        </w:rPr>
        <w:t>o</w:t>
      </w:r>
      <w:r>
        <w:rPr>
          <w:rFonts w:ascii="Verdana" w:hAnsi="Verdana" w:cs="Verdana"/>
          <w:i/>
          <w:iCs/>
          <w:spacing w:val="-6"/>
          <w:sz w:val="22"/>
          <w:szCs w:val="22"/>
          <w:lang w:val="es-ES" w:eastAsia="es-ES"/>
        </w:rPr>
        <w:t xml:space="preserve"> sobre lo debatido en el proceso y se deben mantener durante el desarrollo de todo el proceso". No. 604 de las 10 horas del 17 de agosto de 2007. En consecuencia, la legitimación es la aptitud para ser parte en un proceso concreto, puede ser activa o pasiva, lo cual dependerá de las condiciones que para tal efecto establezca la ley en cuanto la pretensión procesal. Así, la legitimación ad </w:t>
      </w:r>
      <w:proofErr w:type="spellStart"/>
      <w:r>
        <w:rPr>
          <w:rFonts w:ascii="Verdana" w:hAnsi="Verdana" w:cs="Verdana"/>
          <w:i/>
          <w:iCs/>
          <w:spacing w:val="-6"/>
          <w:sz w:val="22"/>
          <w:szCs w:val="22"/>
          <w:lang w:val="es-ES" w:eastAsia="es-ES"/>
        </w:rPr>
        <w:t>causam</w:t>
      </w:r>
      <w:proofErr w:type="spellEnd"/>
      <w:r>
        <w:rPr>
          <w:rFonts w:ascii="Verdana" w:hAnsi="Verdana" w:cs="Verdana"/>
          <w:i/>
          <w:iCs/>
          <w:spacing w:val="-6"/>
          <w:sz w:val="22"/>
          <w:szCs w:val="22"/>
          <w:lang w:val="es-ES" w:eastAsia="es-ES"/>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 Fallo no. 778 de las 14 horas 50 minutos del 28 de julio de 2009. Así, para que la parte cuente con legitimación debe tener una determinada relación jurídica con la petitoria discutida, dicho lazo es el que se produce entre actor y demandado en virtud de lo que se debate en el proceso. </w:t>
      </w:r>
      <w:proofErr w:type="gramStart"/>
      <w:r>
        <w:rPr>
          <w:rFonts w:ascii="Verdana" w:hAnsi="Verdana" w:cs="Verdana"/>
          <w:i/>
          <w:iCs/>
          <w:spacing w:val="-6"/>
          <w:sz w:val="22"/>
          <w:szCs w:val="22"/>
          <w:lang w:val="es-ES" w:eastAsia="es-ES"/>
        </w:rPr>
        <w:t>Consecuentemente, la falta de legitimación en la causa constituye un impedimento sustancial para un?</w:t>
      </w:r>
      <w:proofErr w:type="gramEnd"/>
      <w:r>
        <w:rPr>
          <w:rFonts w:ascii="Verdana" w:hAnsi="Verdana" w:cs="Verdana"/>
          <w:i/>
          <w:iCs/>
          <w:spacing w:val="-6"/>
          <w:sz w:val="22"/>
          <w:szCs w:val="22"/>
          <w:lang w:val="es-ES" w:eastAsia="es-ES"/>
        </w:rPr>
        <w:t xml:space="preserve"> sentencia estimatoria, ya que es la que determina quiénes deben actuar en el proceso."</w:t>
      </w:r>
    </w:p>
    <w:p w:rsidR="001F0ACE" w:rsidRDefault="00DE6731">
      <w:pPr>
        <w:kinsoku w:val="0"/>
        <w:overflowPunct w:val="0"/>
        <w:autoSpaceDE/>
        <w:autoSpaceDN/>
        <w:adjustRightInd/>
        <w:spacing w:before="273" w:after="878" w:line="276"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Así las </w:t>
      </w:r>
      <w:proofErr w:type="gramStart"/>
      <w:r>
        <w:rPr>
          <w:rFonts w:ascii="Verdana" w:hAnsi="Verdana" w:cs="Verdana"/>
          <w:sz w:val="22"/>
          <w:szCs w:val="22"/>
          <w:lang w:val="es-ES" w:eastAsia="es-ES"/>
        </w:rPr>
        <w:t>cosas</w:t>
      </w:r>
      <w:proofErr w:type="gramEnd"/>
      <w:r>
        <w:rPr>
          <w:rFonts w:ascii="Verdana" w:hAnsi="Verdana" w:cs="Verdana"/>
          <w:sz w:val="22"/>
          <w:szCs w:val="22"/>
          <w:lang w:val="es-ES" w:eastAsia="es-ES"/>
        </w:rPr>
        <w:t xml:space="preserve"> debe rechazarse el Recurso de Apelación presentado por las razones indicas supra.</w:t>
      </w:r>
    </w:p>
    <w:p w:rsidR="001F0ACE" w:rsidRDefault="001F0ACE">
      <w:pPr>
        <w:widowControl/>
        <w:rPr>
          <w:sz w:val="24"/>
          <w:szCs w:val="24"/>
        </w:rPr>
        <w:sectPr w:rsidR="001F0ACE">
          <w:pgSz w:w="12134" w:h="15840"/>
          <w:pgMar w:top="2140" w:right="1833" w:bottom="100" w:left="1439" w:header="720" w:footer="720" w:gutter="0"/>
          <w:cols w:space="720"/>
          <w:noEndnote/>
        </w:sectPr>
      </w:pPr>
    </w:p>
    <w:p w:rsidR="001F0ACE" w:rsidRDefault="00DE6731">
      <w:pPr>
        <w:tabs>
          <w:tab w:val="right" w:pos="3168"/>
        </w:tabs>
        <w:kinsoku w:val="0"/>
        <w:overflowPunct w:val="0"/>
        <w:autoSpaceDE/>
        <w:autoSpaceDN/>
        <w:adjustRightInd/>
        <w:spacing w:before="688" w:line="272" w:lineRule="exact"/>
        <w:textAlignment w:val="baseline"/>
        <w:rPr>
          <w:rFonts w:ascii="Verdana" w:hAnsi="Verdana" w:cs="Verdana"/>
          <w:sz w:val="22"/>
          <w:szCs w:val="22"/>
          <w:lang w:val="es-ES" w:eastAsia="es-ES"/>
        </w:rPr>
      </w:pPr>
      <w:r>
        <w:rPr>
          <w:lang w:val="es-ES" w:eastAsia="es-ES"/>
        </w:rPr>
        <w:tab/>
      </w:r>
    </w:p>
    <w:p w:rsidR="001F0ACE" w:rsidRDefault="001F0ACE">
      <w:pPr>
        <w:widowControl/>
        <w:rPr>
          <w:sz w:val="24"/>
          <w:szCs w:val="24"/>
        </w:rPr>
        <w:sectPr w:rsidR="001F0ACE">
          <w:type w:val="continuous"/>
          <w:pgSz w:w="12134" w:h="15840"/>
          <w:pgMar w:top="2140" w:right="1931" w:bottom="100" w:left="6963" w:header="720" w:footer="720" w:gutter="0"/>
          <w:cols w:space="720"/>
          <w:noEndnote/>
        </w:sectPr>
      </w:pPr>
    </w:p>
    <w:p w:rsidR="001F0ACE" w:rsidRDefault="00DE6731">
      <w:pPr>
        <w:kinsoku w:val="0"/>
        <w:overflowPunct w:val="0"/>
        <w:autoSpaceDE/>
        <w:autoSpaceDN/>
        <w:adjustRightInd/>
        <w:spacing w:before="2" w:after="372" w:line="243" w:lineRule="exact"/>
        <w:jc w:val="center"/>
        <w:textAlignment w:val="baseline"/>
        <w:rPr>
          <w:rFonts w:ascii="Verdana" w:hAnsi="Verdana" w:cs="Verdana"/>
          <w:b/>
          <w:bCs/>
          <w:spacing w:val="14"/>
          <w:lang w:val="es-ES" w:eastAsia="es-ES"/>
        </w:rPr>
      </w:pPr>
      <w:r>
        <w:rPr>
          <w:rFonts w:ascii="Verdana" w:hAnsi="Verdana" w:cs="Verdana"/>
          <w:b/>
          <w:bCs/>
          <w:spacing w:val="14"/>
          <w:lang w:val="es-ES" w:eastAsia="es-ES"/>
        </w:rPr>
        <w:lastRenderedPageBreak/>
        <w:t>POR TANTO</w:t>
      </w:r>
    </w:p>
    <w:p w:rsidR="001F0ACE" w:rsidRDefault="001F0ACE">
      <w:pPr>
        <w:widowControl/>
        <w:rPr>
          <w:sz w:val="24"/>
          <w:szCs w:val="24"/>
        </w:rPr>
        <w:sectPr w:rsidR="001F0ACE">
          <w:pgSz w:w="12134" w:h="15840"/>
          <w:pgMar w:top="1240" w:right="4252" w:bottom="204" w:left="4642" w:header="720" w:footer="720" w:gutter="0"/>
          <w:cols w:space="720"/>
          <w:noEndnote/>
        </w:sectPr>
      </w:pPr>
    </w:p>
    <w:p w:rsidR="001F0ACE" w:rsidRDefault="006737AC">
      <w:pPr>
        <w:kinsoku w:val="0"/>
        <w:overflowPunct w:val="0"/>
        <w:autoSpaceDE/>
        <w:autoSpaceDN/>
        <w:adjustRightInd/>
        <w:spacing w:before="44" w:line="249" w:lineRule="exact"/>
        <w:ind w:right="72"/>
        <w:jc w:val="both"/>
        <w:textAlignment w:val="baseline"/>
        <w:rPr>
          <w:rFonts w:ascii="Verdana" w:hAnsi="Verdana" w:cs="Verdana"/>
          <w:spacing w:val="3"/>
          <w:lang w:val="es-ES" w:eastAsia="es-ES"/>
        </w:rPr>
      </w:pPr>
      <w:r>
        <w:rPr>
          <w:rFonts w:ascii="Verdana" w:hAnsi="Verdana" w:cs="Verdana"/>
          <w:b/>
          <w:bCs/>
          <w:spacing w:val="3"/>
          <w:lang w:val="es-ES" w:eastAsia="es-ES"/>
        </w:rPr>
        <w:t>I</w:t>
      </w:r>
      <w:r w:rsidR="00DE6731">
        <w:rPr>
          <w:rFonts w:ascii="Verdana" w:hAnsi="Verdana" w:cs="Verdana"/>
          <w:b/>
          <w:bCs/>
          <w:spacing w:val="3"/>
          <w:lang w:val="es-ES" w:eastAsia="es-ES"/>
        </w:rPr>
        <w:t xml:space="preserve">- </w:t>
      </w:r>
      <w:r w:rsidR="00DE6731">
        <w:rPr>
          <w:rFonts w:ascii="Verdana" w:hAnsi="Verdana" w:cs="Verdana"/>
          <w:spacing w:val="3"/>
          <w:lang w:val="es-ES" w:eastAsia="es-ES"/>
        </w:rPr>
        <w:t xml:space="preserve">Se rechaza por Falta de Legitimación el Recurso de Apelación, interpuesto por la señora </w:t>
      </w:r>
      <w:r w:rsidR="00DE6731">
        <w:rPr>
          <w:rFonts w:ascii="Verdana" w:hAnsi="Verdana" w:cs="Verdana"/>
          <w:b/>
          <w:bCs/>
          <w:spacing w:val="3"/>
          <w:lang w:val="es-ES" w:eastAsia="es-ES"/>
        </w:rPr>
        <w:t>R</w:t>
      </w:r>
      <w:r>
        <w:rPr>
          <w:rFonts w:ascii="Verdana" w:hAnsi="Verdana" w:cs="Verdana"/>
          <w:b/>
          <w:bCs/>
          <w:spacing w:val="3"/>
          <w:lang w:val="es-ES" w:eastAsia="es-ES"/>
        </w:rPr>
        <w:t>.M.C.</w:t>
      </w:r>
      <w:r w:rsidR="00DE6731">
        <w:rPr>
          <w:rFonts w:ascii="Verdana" w:hAnsi="Verdana" w:cs="Verdana"/>
          <w:b/>
          <w:bCs/>
          <w:spacing w:val="3"/>
          <w:lang w:val="es-ES" w:eastAsia="es-ES"/>
        </w:rPr>
        <w:t xml:space="preserve">, cédula de identidad </w:t>
      </w:r>
      <w:r>
        <w:rPr>
          <w:rFonts w:ascii="Verdana" w:hAnsi="Verdana" w:cs="Verdana"/>
          <w:b/>
          <w:bCs/>
          <w:spacing w:val="3"/>
          <w:lang w:val="es-ES" w:eastAsia="es-ES"/>
        </w:rPr>
        <w:t>…</w:t>
      </w:r>
      <w:r w:rsidR="00DE6731">
        <w:rPr>
          <w:rFonts w:ascii="Verdana" w:hAnsi="Verdana" w:cs="Verdana"/>
          <w:b/>
          <w:bCs/>
          <w:spacing w:val="3"/>
          <w:lang w:val="es-ES" w:eastAsia="es-ES"/>
        </w:rPr>
        <w:t xml:space="preserve">, </w:t>
      </w:r>
      <w:r w:rsidR="00DE6731">
        <w:rPr>
          <w:rFonts w:ascii="Verdana" w:hAnsi="Verdana" w:cs="Verdana"/>
          <w:spacing w:val="3"/>
          <w:lang w:val="es-ES" w:eastAsia="es-ES"/>
        </w:rPr>
        <w:t xml:space="preserve">en su condición de </w:t>
      </w:r>
      <w:r w:rsidR="00DE6731">
        <w:rPr>
          <w:rFonts w:ascii="Verdana" w:hAnsi="Verdana" w:cs="Verdana"/>
          <w:b/>
          <w:bCs/>
          <w:spacing w:val="3"/>
          <w:lang w:val="es-ES" w:eastAsia="es-ES"/>
        </w:rPr>
        <w:t>Albacea de la sucesión de G</w:t>
      </w:r>
      <w:r>
        <w:rPr>
          <w:rFonts w:ascii="Verdana" w:hAnsi="Verdana" w:cs="Verdana"/>
          <w:b/>
          <w:bCs/>
          <w:spacing w:val="3"/>
          <w:lang w:val="es-ES" w:eastAsia="es-ES"/>
        </w:rPr>
        <w:t>.V.V.</w:t>
      </w:r>
      <w:r w:rsidR="00DE6731">
        <w:rPr>
          <w:rFonts w:ascii="Verdana" w:hAnsi="Verdana" w:cs="Verdana"/>
          <w:b/>
          <w:bCs/>
          <w:spacing w:val="3"/>
          <w:lang w:val="es-ES" w:eastAsia="es-ES"/>
        </w:rPr>
        <w:t xml:space="preserve">, </w:t>
      </w:r>
      <w:r w:rsidR="00DE6731">
        <w:rPr>
          <w:rFonts w:ascii="Verdana" w:hAnsi="Verdana" w:cs="Verdana"/>
          <w:spacing w:val="3"/>
          <w:lang w:val="es-ES" w:eastAsia="es-ES"/>
        </w:rPr>
        <w:t>quien en vida fuera el concesionario de Taxi de la placa número TSJ-</w:t>
      </w:r>
      <w:r>
        <w:rPr>
          <w:rFonts w:ascii="Verdana" w:hAnsi="Verdana" w:cs="Verdana"/>
          <w:spacing w:val="3"/>
          <w:lang w:val="es-ES" w:eastAsia="es-ES"/>
        </w:rPr>
        <w:t>XXXX</w:t>
      </w:r>
      <w:r w:rsidR="00DE6731">
        <w:rPr>
          <w:rFonts w:ascii="Verdana" w:hAnsi="Verdana" w:cs="Verdana"/>
          <w:spacing w:val="3"/>
          <w:lang w:val="es-ES" w:eastAsia="es-ES"/>
        </w:rPr>
        <w:t xml:space="preserve"> quien falleció y de quien solicita se le traspase Mortis Causa la misma, contra el </w:t>
      </w:r>
      <w:r w:rsidR="00DE6731">
        <w:rPr>
          <w:rFonts w:ascii="Verdana" w:hAnsi="Verdana" w:cs="Verdana"/>
          <w:b/>
          <w:bCs/>
          <w:spacing w:val="3"/>
          <w:lang w:val="es-ES" w:eastAsia="es-ES"/>
        </w:rPr>
        <w:t xml:space="preserve">Artículo 7.29 de la Sesión Ordinaria 15-2014 de 26 de febrero de 2014, </w:t>
      </w:r>
      <w:r w:rsidR="00DE6731">
        <w:rPr>
          <w:rFonts w:ascii="Verdana" w:hAnsi="Verdana" w:cs="Verdana"/>
          <w:spacing w:val="3"/>
          <w:lang w:val="es-ES" w:eastAsia="es-ES"/>
        </w:rPr>
        <w:t>dictado por la JUNTA DIRECTIVA DEL CONSEJO DE TRANSPORTE PÚBLICO.</w:t>
      </w:r>
    </w:p>
    <w:p w:rsidR="001F0ACE" w:rsidRDefault="00DE6731">
      <w:pPr>
        <w:kinsoku w:val="0"/>
        <w:overflowPunct w:val="0"/>
        <w:autoSpaceDE/>
        <w:autoSpaceDN/>
        <w:adjustRightInd/>
        <w:spacing w:before="252" w:after="230" w:line="277" w:lineRule="exact"/>
        <w:ind w:right="72"/>
        <w:jc w:val="both"/>
        <w:textAlignment w:val="baseline"/>
        <w:rPr>
          <w:rFonts w:ascii="Verdana" w:hAnsi="Verdana" w:cs="Verdana"/>
          <w:b/>
          <w:bCs/>
          <w:lang w:val="es-ES" w:eastAsia="es-ES"/>
        </w:rPr>
      </w:pPr>
      <w:r>
        <w:rPr>
          <w:rFonts w:ascii="Verdana" w:hAnsi="Verdana" w:cs="Verdana"/>
          <w:b/>
          <w:bCs/>
          <w:lang w:val="es-ES" w:eastAsia="es-ES"/>
        </w:rPr>
        <w:t xml:space="preserve">II.- </w:t>
      </w:r>
      <w:r>
        <w:rPr>
          <w:rFonts w:ascii="Verdana" w:hAnsi="Verdana" w:cs="Verdana"/>
          <w:lang w:val="es-ES" w:eastAsia="es-ES"/>
        </w:rPr>
        <w:t xml:space="preserve">De conformidad con el artículo 22, inciso c), de la citada Ley 7969, la presente resolución no tiene ulterior recurso por lo que, </w:t>
      </w:r>
      <w:r>
        <w:rPr>
          <w:rFonts w:ascii="Verdana" w:hAnsi="Verdana" w:cs="Verdana"/>
          <w:b/>
          <w:bCs/>
          <w:lang w:val="es-ES" w:eastAsia="es-ES"/>
        </w:rPr>
        <w:t xml:space="preserve">se </w:t>
      </w:r>
      <w:r>
        <w:rPr>
          <w:rFonts w:ascii="Verdana" w:hAnsi="Verdana" w:cs="Verdana"/>
          <w:i/>
          <w:iCs/>
          <w:lang w:val="es-ES" w:eastAsia="es-ES"/>
        </w:rPr>
        <w:t xml:space="preserve">tiene por agotada la vía administrativa. </w:t>
      </w:r>
      <w:r>
        <w:rPr>
          <w:rFonts w:ascii="Verdana" w:hAnsi="Verdana" w:cs="Verdana"/>
          <w:b/>
          <w:bCs/>
          <w:lang w:val="es-ES" w:eastAsia="es-ES"/>
        </w:rPr>
        <w:t xml:space="preserve">NOTIFIQUESE </w:t>
      </w:r>
      <w:r w:rsidR="006737AC">
        <w:rPr>
          <w:rFonts w:ascii="Verdana" w:hAnsi="Verdana" w:cs="Verdana"/>
          <w:b/>
          <w:bCs/>
          <w:lang w:val="es-ES" w:eastAsia="es-ES"/>
        </w:rPr>
        <w:t>–</w:t>
      </w:r>
    </w:p>
    <w:p w:rsidR="006737AC" w:rsidRDefault="006737AC" w:rsidP="006737AC">
      <w:pPr>
        <w:kinsoku w:val="0"/>
        <w:overflowPunct w:val="0"/>
        <w:autoSpaceDE/>
        <w:autoSpaceDN/>
        <w:adjustRightInd/>
        <w:spacing w:after="374" w:line="320" w:lineRule="exact"/>
        <w:ind w:left="648" w:right="72"/>
        <w:jc w:val="center"/>
        <w:textAlignment w:val="baseline"/>
        <w:rPr>
          <w:rStyle w:val="CharacterStyle1"/>
          <w:i/>
          <w:iCs/>
          <w:spacing w:val="5"/>
          <w:sz w:val="26"/>
          <w:szCs w:val="26"/>
        </w:rPr>
      </w:pPr>
    </w:p>
    <w:p w:rsidR="006737AC" w:rsidRPr="00CF40A0" w:rsidRDefault="006737AC" w:rsidP="006737AC">
      <w:pPr>
        <w:kinsoku w:val="0"/>
        <w:overflowPunct w:val="0"/>
        <w:autoSpaceDE/>
        <w:autoSpaceDN/>
        <w:adjustRightInd/>
        <w:spacing w:after="374" w:line="320" w:lineRule="exact"/>
        <w:ind w:left="648"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6737AC" w:rsidRDefault="006737AC" w:rsidP="006737AC">
      <w:pPr>
        <w:pStyle w:val="Style1"/>
        <w:kinsoku w:val="0"/>
        <w:overflowPunct w:val="0"/>
        <w:autoSpaceDE/>
        <w:autoSpaceDN/>
        <w:adjustRightInd/>
        <w:spacing w:after="301" w:line="288" w:lineRule="exact"/>
        <w:ind w:left="648"/>
        <w:jc w:val="center"/>
        <w:textAlignment w:val="baseline"/>
        <w:rPr>
          <w:rStyle w:val="CharacterStyle1"/>
          <w:b/>
          <w:i/>
          <w:iCs/>
          <w:spacing w:val="5"/>
          <w:sz w:val="26"/>
          <w:szCs w:val="26"/>
        </w:rPr>
      </w:pPr>
      <w:r>
        <w:rPr>
          <w:rStyle w:val="CharacterStyle1"/>
          <w:b/>
          <w:i/>
          <w:iCs/>
          <w:spacing w:val="5"/>
          <w:sz w:val="26"/>
          <w:szCs w:val="26"/>
        </w:rPr>
        <w:t>Presidente</w:t>
      </w:r>
    </w:p>
    <w:p w:rsidR="006737AC" w:rsidRDefault="006737AC" w:rsidP="006737AC">
      <w:pPr>
        <w:kinsoku w:val="0"/>
        <w:overflowPunct w:val="0"/>
        <w:autoSpaceDE/>
        <w:autoSpaceDN/>
        <w:adjustRightInd/>
        <w:spacing w:before="313" w:after="358" w:line="294" w:lineRule="exact"/>
        <w:ind w:left="648"/>
        <w:jc w:val="center"/>
        <w:textAlignment w:val="baseline"/>
        <w:rPr>
          <w:rStyle w:val="CharacterStyle1"/>
          <w:b/>
          <w:i/>
          <w:iCs/>
          <w:spacing w:val="5"/>
          <w:sz w:val="26"/>
          <w:szCs w:val="26"/>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6737AC" w:rsidRDefault="006737AC">
      <w:pPr>
        <w:kinsoku w:val="0"/>
        <w:overflowPunct w:val="0"/>
        <w:autoSpaceDE/>
        <w:autoSpaceDN/>
        <w:adjustRightInd/>
        <w:spacing w:before="252" w:after="230" w:line="277" w:lineRule="exact"/>
        <w:ind w:right="72"/>
        <w:jc w:val="both"/>
        <w:textAlignment w:val="baseline"/>
        <w:rPr>
          <w:rFonts w:ascii="Verdana" w:hAnsi="Verdana" w:cs="Verdana"/>
          <w:b/>
          <w:bCs/>
          <w:lang w:val="es-ES" w:eastAsia="es-ES"/>
        </w:rPr>
      </w:pPr>
    </w:p>
    <w:p w:rsidR="006737AC" w:rsidRDefault="006737AC">
      <w:pPr>
        <w:kinsoku w:val="0"/>
        <w:overflowPunct w:val="0"/>
        <w:autoSpaceDE/>
        <w:autoSpaceDN/>
        <w:adjustRightInd/>
        <w:spacing w:before="252" w:after="230" w:line="277" w:lineRule="exact"/>
        <w:ind w:right="72"/>
        <w:jc w:val="both"/>
        <w:textAlignment w:val="baseline"/>
        <w:rPr>
          <w:rFonts w:ascii="Verdana" w:hAnsi="Verdana" w:cs="Verdana"/>
          <w:b/>
          <w:bCs/>
          <w:lang w:val="es-ES" w:eastAsia="es-ES"/>
        </w:rPr>
      </w:pPr>
    </w:p>
    <w:p w:rsidR="001F0ACE" w:rsidRDefault="001F0ACE">
      <w:pPr>
        <w:kinsoku w:val="0"/>
        <w:overflowPunct w:val="0"/>
        <w:autoSpaceDE/>
        <w:autoSpaceDN/>
        <w:adjustRightInd/>
        <w:spacing w:before="9475" w:line="288" w:lineRule="exact"/>
        <w:textAlignment w:val="baseline"/>
        <w:rPr>
          <w:sz w:val="24"/>
          <w:szCs w:val="24"/>
        </w:rPr>
        <w:sectPr w:rsidR="001F0ACE">
          <w:type w:val="continuous"/>
          <w:pgSz w:w="12134" w:h="15840"/>
          <w:pgMar w:top="1240" w:right="1651" w:bottom="204" w:left="2208" w:header="720" w:footer="720" w:gutter="0"/>
          <w:cols w:space="720"/>
          <w:noEndnote/>
        </w:sectPr>
      </w:pPr>
    </w:p>
    <w:p w:rsidR="00DE6731" w:rsidRDefault="00DE6731">
      <w:pPr>
        <w:tabs>
          <w:tab w:val="left" w:pos="2880"/>
        </w:tabs>
        <w:kinsoku w:val="0"/>
        <w:overflowPunct w:val="0"/>
        <w:autoSpaceDE/>
        <w:autoSpaceDN/>
        <w:adjustRightInd/>
        <w:spacing w:line="229" w:lineRule="exact"/>
        <w:ind w:left="216"/>
        <w:textAlignment w:val="baseline"/>
        <w:rPr>
          <w:rFonts w:ascii="Verdana" w:hAnsi="Verdana" w:cs="Verdana"/>
          <w:spacing w:val="-1"/>
          <w:lang w:val="es-ES" w:eastAsia="es-ES"/>
        </w:rPr>
      </w:pPr>
      <w:r>
        <w:rPr>
          <w:spacing w:val="-1"/>
          <w:sz w:val="19"/>
          <w:szCs w:val="19"/>
          <w:lang w:val="es-ES" w:eastAsia="es-ES"/>
        </w:rPr>
        <w:tab/>
      </w:r>
    </w:p>
    <w:sectPr w:rsidR="00DE6731">
      <w:type w:val="continuous"/>
      <w:pgSz w:w="12134" w:h="15840"/>
      <w:pgMar w:top="1240" w:right="1651" w:bottom="204" w:left="724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DCBE"/>
    <w:multiLevelType w:val="singleLevel"/>
    <w:tmpl w:val="5FD5BEB2"/>
    <w:lvl w:ilvl="0">
      <w:start w:val="1"/>
      <w:numFmt w:val="decimal"/>
      <w:lvlText w:val="%1."/>
      <w:lvlJc w:val="left"/>
      <w:pPr>
        <w:tabs>
          <w:tab w:val="num" w:pos="864"/>
        </w:tabs>
        <w:ind w:left="576"/>
      </w:pPr>
      <w:rPr>
        <w:rFonts w:ascii="Tahoma" w:hAnsi="Tahoma" w:cs="Tahoma"/>
        <w:i/>
        <w:iCs/>
        <w:snapToGrid/>
        <w:spacing w:val="10"/>
        <w:sz w:val="22"/>
        <w:szCs w:val="22"/>
      </w:rPr>
    </w:lvl>
  </w:abstractNum>
  <w:num w:numId="1">
    <w:abstractNumId w:val="0"/>
  </w:num>
  <w:num w:numId="2">
    <w:abstractNumId w:val="0"/>
    <w:lvlOverride w:ilvl="0">
      <w:lvl w:ilvl="0">
        <w:numFmt w:val="decimal"/>
        <w:lvlText w:val="%1."/>
        <w:lvlJc w:val="left"/>
        <w:pPr>
          <w:tabs>
            <w:tab w:val="num" w:pos="864"/>
          </w:tabs>
          <w:ind w:left="576"/>
        </w:pPr>
        <w:rPr>
          <w:rFonts w:ascii="Verdana" w:hAnsi="Verdana" w:cs="Verdana"/>
          <w:b/>
          <w:bCs/>
          <w:i/>
          <w:iCs/>
          <w:snapToGrid/>
          <w:sz w:val="21"/>
          <w:szCs w:val="21"/>
          <w:u w:val="sing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7AC"/>
    <w:rsid w:val="001F0ACE"/>
    <w:rsid w:val="004F55B4"/>
    <w:rsid w:val="006737AC"/>
    <w:rsid w:val="00DE673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058D667-41E8-4362-BAE6-92491E26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737AC"/>
    <w:rPr>
      <w:color w:val="0563C1" w:themeColor="hyperlink"/>
      <w:u w:val="single"/>
    </w:rPr>
  </w:style>
  <w:style w:type="character" w:styleId="Mencinsinresolver">
    <w:name w:val="Unresolved Mention"/>
    <w:basedOn w:val="Fuentedeprrafopredeter"/>
    <w:uiPriority w:val="99"/>
    <w:semiHidden/>
    <w:unhideWhenUsed/>
    <w:rsid w:val="006737AC"/>
    <w:rPr>
      <w:color w:val="808080"/>
      <w:shd w:val="clear" w:color="auto" w:fill="E6E6E6"/>
    </w:rPr>
  </w:style>
  <w:style w:type="paragraph" w:customStyle="1" w:styleId="Style1">
    <w:name w:val="Style 1"/>
    <w:basedOn w:val="Normal"/>
    <w:uiPriority w:val="99"/>
    <w:rsid w:val="006737AC"/>
    <w:rPr>
      <w:lang w:val="es-CR"/>
    </w:rPr>
  </w:style>
  <w:style w:type="character" w:customStyle="1" w:styleId="CharacterStyle1">
    <w:name w:val="Character Style 1"/>
    <w:uiPriority w:val="99"/>
    <w:rsid w:val="006737A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xx@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2728</Words>
  <Characters>13658</Characters>
  <Application>Microsoft Office Word</Application>
  <DocSecurity>4</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2</cp:revision>
  <dcterms:created xsi:type="dcterms:W3CDTF">2019-09-12T18:06:00Z</dcterms:created>
  <dcterms:modified xsi:type="dcterms:W3CDTF">2019-09-12T18:06:00Z</dcterms:modified>
</cp:coreProperties>
</file>